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88R19636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Klick, Slawson, Hefner,</w:t>
      </w:r>
      <w:r xml:space="preserve">
        <w:tab wTab="150" tlc="none" cTlc="0"/>
      </w:r>
      <w:r>
        <w:t xml:space="preserve">H.B.</w:t>
      </w:r>
      <w:r xml:space="preserve">
        <w:t> </w:t>
      </w:r>
      <w:r>
        <w:t xml:space="preserve">No.</w:t>
      </w:r>
      <w:r xml:space="preserve">
        <w:t> </w:t>
      </w:r>
      <w:r>
        <w:t xml:space="preserve">44</w:t>
      </w:r>
    </w:p>
    <w:p w:rsidR="003F3435" w:rsidRDefault="0032493E">
      <w:pPr>
        <w:jc w:val="both"/>
      </w:pPr>
      <w:r xml:space="preserve">
        <w:t> </w:t>
      </w:r>
      <w:r xml:space="preserve">
        <w:t> </w:t>
      </w:r>
      <w:r xml:space="preserve">
        <w:t> </w:t>
      </w:r>
      <w:r xml:space="preserve">
        <w:t> </w:t>
      </w:r>
      <w:r xml:space="preserve">
        <w:t> </w:t>
      </w:r>
      <w:r>
        <w:t xml:space="preserve">Morales Shaw,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44:</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provider discrimination against a Medicaid recipient or child health plan program enrollee based on immunization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531.02119.</w:t>
      </w:r>
      <w:r>
        <w:rPr>
          <w:u w:val="single"/>
        </w:rPr>
        <w:t xml:space="preserve"> </w:t>
      </w:r>
      <w:r>
        <w:rPr>
          <w:u w:val="single"/>
        </w:rPr>
        <w:t xml:space="preserve"> </w:t>
      </w:r>
      <w:r>
        <w:rPr>
          <w:u w:val="single"/>
        </w:rPr>
        <w:t xml:space="preserve">DISCRIMINATION BASED ON IMMUNIZATION STATUS PROHIBITED.  (a)  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solely on the recipient's or enrollee's refusal or failure to obtain a vaccine or immunization for a particular infectious or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provide Medicaid or child health plan program reimbursement to a provider who violates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disenroll the provider from participation as a Medicaid or child health plan program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