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 et al.</w:t>
      </w:r>
      <w:r>
        <w:t xml:space="preserve"> (Senate Sponsor</w:t>
      </w:r>
      <w:r xml:space="preserve">
        <w:t> </w:t>
      </w:r>
      <w:r>
        <w:t xml:space="preserve">-</w:t>
      </w:r>
      <w:r xml:space="preserve">
        <w:t> </w:t>
      </w:r>
      <w:r>
        <w:t xml:space="preserve">Middleton)</w:t>
      </w:r>
      <w:r xml:space="preserve">
        <w:tab wTab="150" tlc="none" cTlc="0"/>
      </w:r>
      <w:r>
        <w:t xml:space="preserve">H.B.</w:t>
      </w:r>
      <w:r xml:space="preserve">
        <w:t> </w:t>
      </w:r>
      <w:r>
        <w:t xml:space="preserve">No.</w:t>
      </w:r>
      <w:r xml:space="preserve">
        <w:t> </w:t>
      </w:r>
      <w:r>
        <w:t xml:space="preserve">44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April</w:t>
      </w:r>
      <w:r xml:space="preserve">
        <w:t> </w:t>
      </w:r>
      <w:r>
        <w:t xml:space="preserve">26,</w:t>
      </w:r>
      <w:r xml:space="preserve">
        <w:t> </w:t>
      </w:r>
      <w:r>
        <w:t xml:space="preserve">2023, read first time and referred to Committee on Health &amp; Human Services;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5, Nays 3;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44</w:t>
      </w:r>
      <w:r xml:space="preserve">
        <w:tab wTab="150" tlc="none" cTlc="0"/>
      </w:r>
      <w:r>
        <w:t xml:space="preserve">By:</w:t>
      </w:r>
      <w:r xml:space="preserve">
        <w:t> </w:t>
      </w:r>
      <w:r xml:space="preserve">
        <w:t> </w:t>
      </w:r>
      <w:r>
        <w:t xml:space="preserve">Sparks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provider discrimination against a Medicaid recipient or child health plan program enrollee based on immunization status.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531.02119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531.02119.</w:t>
      </w:r>
      <w:r>
        <w:rPr>
          <w:u w:val="single"/>
        </w:rPr>
        <w:t xml:space="preserve"> </w:t>
      </w:r>
      <w:r>
        <w:rPr>
          <w:u w:val="single"/>
        </w:rPr>
        <w:t xml:space="preserve"> </w:t>
      </w:r>
      <w:r>
        <w:rPr>
          <w:u w:val="single"/>
        </w:rPr>
        <w:t xml:space="preserve">DISCRIMINATION BASED ON IMMUNIZATION STATUS PROHIBITED.  (a)  A provider who participates in Medicaid or the child health plan program, including a provider participating in the provider network of a managed care organization that contracts with the commission to provide services under Medicaid or the child health plan program, may not refuse to provide health care services to a Medicaid recipient or child health plan program enrollee based solely on the recipient's or enrollee's refusal or failure to obtain a vaccine or immunization for a particular infectious or communicable disease.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provide any reimbursement under Medicaid or the child health plan program, as applicable, to a provider who violates this section unless and until the commission finds that the provider is in compliance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 applies only with respect to an individual physician.  The commission may not refuse to provide reimbursement to a provider who did not violate this section based on that provider's membership in a provider group or medical organization with an individual physician who violated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 provider who is a specialist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oncology;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organ transplant services.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executive commissioner may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