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88R2137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H.B.</w:t>
      </w:r>
      <w:r xml:space="preserve">
        <w:t> </w:t>
      </w:r>
      <w:r>
        <w:t xml:space="preserve">No.</w:t>
      </w:r>
      <w:r xml:space="preserve">
        <w:t> </w:t>
      </w:r>
      <w:r>
        <w:t xml:space="preserve">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children's diapers and baby wipes.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 Tax Code, is amended by amending Subsection (a) and adding Subsections (g) and (h)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rPr>
          <w:u w:val="single"/>
        </w:rPr>
        <w:t xml:space="preserve">a</w:t>
      </w:r>
      <w:r>
        <w:t xml:space="preserve"> 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w:t>
      </w:r>
      <w:r>
        <w:rPr>
          <w:u w:val="single"/>
        </w:rPr>
        <w:t xml:space="preserve">a person who is</w:t>
      </w:r>
      <w:r>
        <w:t xml:space="preserve"> [</w:t>
      </w:r>
      <w:r>
        <w:rPr>
          <w:strike/>
        </w:rPr>
        <w:t xml:space="preserve">the</w:t>
      </w:r>
      <w:r>
        <w:t xml:space="preserve">] deaf for the purpose of enabling </w:t>
      </w:r>
      <w:r>
        <w:rPr>
          <w:u w:val="single"/>
        </w:rPr>
        <w:t xml:space="preserve">the person</w:t>
      </w:r>
      <w:r>
        <w:t xml:space="preserve"> [</w:t>
      </w:r>
      <w:r>
        <w:rPr>
          <w:strike/>
        </w:rPr>
        <w:t xml:space="preserve">the deaf</w:t>
      </w:r>
      <w:r>
        <w:t xml:space="preserve">]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w:t>
      </w:r>
      <w:r>
        <w:rPr>
          <w:u w:val="single"/>
        </w:rPr>
        <w:t xml:space="preserve">a person who is</w:t>
      </w:r>
      <w:r>
        <w:t xml:space="preserve"> [</w:t>
      </w:r>
      <w:r>
        <w:rPr>
          <w:strike/>
        </w:rPr>
        <w:t xml:space="preserve">the</w:t>
      </w:r>
      <w:r>
        <w:t xml:space="preserve">] blind to enable </w:t>
      </w:r>
      <w:r>
        <w:rPr>
          <w:u w:val="single"/>
        </w:rPr>
        <w:t xml:space="preserve">the person</w:t>
      </w:r>
      <w:r>
        <w:t xml:space="preserve"> [</w:t>
      </w:r>
      <w:r>
        <w:rPr>
          <w:strike/>
        </w:rPr>
        <w:t xml:space="preserve">them</w:t>
      </w:r>
      <w:r>
        <w:t xml:space="preserve">] to function more independently: a slate and stylus, print enlarger, light probe, magnifier, white cane, talking clock, large print terminal, talking terminal, or harness for </w:t>
      </w:r>
      <w:r>
        <w:rPr>
          <w:u w:val="single"/>
        </w:rPr>
        <w:t xml:space="preserve">a</w:t>
      </w:r>
      <w:r>
        <w:t xml:space="preserve">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w:t>
      </w:r>
      <w:r>
        <w:rPr>
          <w:u w:val="single"/>
        </w:rPr>
        <w:t xml:space="preserve">, has a physical disability</w:t>
      </w:r>
      <w:r>
        <w:t xml:space="preserve"> [</w:t>
      </w:r>
      <w:r>
        <w:rPr>
          <w:strike/>
        </w:rPr>
        <w:t xml:space="preserve">or physically disabled</w:t>
      </w:r>
      <w:r>
        <w:t xml:space="preserve">],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children's diaper; and</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 baby wipe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product is a children's diaper for purposes of this section if the product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absorbent garment worn by humans who are incapable of, or have difficulty, controlling their bladder or bowel movements;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marketed to be worn by children.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product is a baby wipe for purposes of this section if the product is a moistened and disposable tissue or towel intended for cleansing the skin of a young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