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access to certain hospital investigation information and materials.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241.051, Health and Safety Code, is amended by amending Subsections (d) and (e) and adding Subsections (f), (g), and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hospital are confidential and not subject to disclosure under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Code,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hospital that is the subject of the enforcement action, or the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and hospital-identifying information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hospital's</w:t>
      </w:r>
      <w:r>
        <w:t xml:space="preserve"> alleged violation [</w:t>
      </w:r>
      <w:r>
        <w:rPr>
          <w:strike/>
        </w:rPr>
        <w:t xml:space="preserve">against the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hospital is alleged to have violated, and a general statement of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hospital from releasing medical records in the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577.013, Health and Safety Code, is amended by amending Subsections (d) and (e) and adding Subsections (f), (g), (h), and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mental hospital licensed under this chapter are confidential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licensed mental hospital that is the subject of the enforcement action, or the licensed mental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licensed mental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information and information identifying the licensed mental hospital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licensed mental hospital's</w:t>
      </w:r>
      <w:r>
        <w:t xml:space="preserve"> alleged violation [</w:t>
      </w:r>
      <w:r>
        <w:rPr>
          <w:strike/>
        </w:rPr>
        <w:t xml:space="preserve">against the licensed mental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licensed mental hospital is alleged to have violated, and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licensed mental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licensed mental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licensed mental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licensed mental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licensed mental hospital from releasing medical records in the licensed mental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"commission"</w:t>
      </w:r>
      <w:r>
        <w:rPr>
          <w:u w:val="single"/>
        </w:rPr>
        <w:t xml:space="preserve"> </w:t>
      </w:r>
      <w:r>
        <w:rPr>
          <w:u w:val="single"/>
        </w:rPr>
        <w:t xml:space="preserve">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investigation of an alleged violation by a hospital or licensed mental hospital that is finalized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