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88R2076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H.B.</w:t>
      </w:r>
      <w:r xml:space="preserve">
        <w:t> </w:t>
      </w:r>
      <w:r>
        <w:t xml:space="preserve">No.</w:t>
      </w:r>
      <w:r xml:space="preserve">
        <w:t> </w:t>
      </w:r>
      <w:r>
        <w:t xml:space="preserve">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by the Texas Commission on Environmental Quality of certain information in a language other than English.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5, Water Code, is amended by adding Section 5.1731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5.1731.</w:t>
      </w:r>
      <w:r>
        <w:rPr>
          <w:u w:val="single"/>
        </w:rPr>
        <w:t xml:space="preserve"> </w:t>
      </w:r>
      <w:r>
        <w:rPr>
          <w:u w:val="single"/>
        </w:rPr>
        <w:t xml:space="preserve"> </w:t>
      </w:r>
      <w:r>
        <w:rPr>
          <w:u w:val="single"/>
        </w:rPr>
        <w:t xml:space="preserve">DUTY TO RESPOND IN LANGUAGE RECEIVED.  The commission shall respond to a request for information, public comment, response to notice, or other inquiry or correspondence within the jurisdiction of the commission in the language in which the matter was received by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M, Chapter 5, Water Code, is amended by adding Section 5.5531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5.5531.</w:t>
      </w:r>
      <w:r>
        <w:rPr>
          <w:u w:val="single"/>
        </w:rPr>
        <w:t xml:space="preserve"> </w:t>
      </w:r>
      <w:r>
        <w:rPr>
          <w:u w:val="single"/>
        </w:rPr>
        <w:t xml:space="preserve"> </w:t>
      </w:r>
      <w:r>
        <w:rPr>
          <w:u w:val="single"/>
        </w:rPr>
        <w:t xml:space="preserve">MAILED NOTICE IN ALTERNATIVE LANGUAGE.  (a)  A notice required to be mailed under this subchapter or under Chapter 26 or 27 of this code or Chapter 361, Health and Safety Code, other than a notice required to be mailed under Subchapter F or V, Chapter 361, Health and Safety Code, must be sent in the alternative language in which a bilingual education program is or would have been taught if either the elementary or middle school nearest to the facility or proposed facility is required to provide a bilingual education program as required by Subchapter B, Chapter 29, Education Code,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students are enrolled in a program at that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 from that school attend a bilingual education program at another location;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school that otherwise would be required to provide a bilingual education program has been granted an exception from the requirements to provide the program as provided by rules of the Texas Education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applicant shall pay the costs associated with mailing notice under this section, including costs for the translation of the notice into a language other than English.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5.554, Water Code, is amended to read as follows:</w:t>
      </w:r>
    </w:p>
    <w:p w:rsidR="003F3435" w:rsidRDefault="0032493E">
      <w:pPr>
        <w:spacing w:line="480" w:lineRule="auto"/>
        <w:ind w:firstLine="720"/>
        <w:jc w:val="both"/>
      </w:pPr>
      <w:r>
        <w:t xml:space="preserve">Sec.</w:t>
      </w:r>
      <w:r xml:space="preserve">
        <w:t> </w:t>
      </w:r>
      <w:r>
        <w:t xml:space="preserve">5.554.</w:t>
      </w:r>
      <w:r xml:space="preserve">
        <w:t> </w:t>
      </w:r>
      <w:r xml:space="preserve">
        <w:t> </w:t>
      </w:r>
      <w:r>
        <w:t xml:space="preserve">PUBLIC MEETING.  </w:t>
      </w:r>
      <w:r>
        <w:rPr>
          <w:u w:val="single"/>
        </w:rPr>
        <w:t xml:space="preserve">(a)</w:t>
      </w:r>
      <w:r>
        <w:t xml:space="preserve">  During the public comment period, the executive director may hold one or more public meetings in the county in which the facility is located or proposed to be located.  The executive director shall hold a public meeting:</w:t>
      </w:r>
    </w:p>
    <w:p w:rsidR="003F3435" w:rsidRDefault="0032493E">
      <w:pPr>
        <w:spacing w:line="480" w:lineRule="auto"/>
        <w:ind w:firstLine="1440"/>
        <w:jc w:val="both"/>
      </w:pPr>
      <w:r>
        <w:t xml:space="preserve">(1)</w:t>
      </w:r>
      <w:r xml:space="preserve">
        <w:t> </w:t>
      </w:r>
      <w:r xml:space="preserve">
        <w:t> </w:t>
      </w:r>
      <w:r>
        <w:t xml:space="preserve">on the request of a member of the legislature who represents the general area in which the facility is located or proposed to be located; or</w:t>
      </w:r>
    </w:p>
    <w:p w:rsidR="003F3435" w:rsidRDefault="0032493E">
      <w:pPr>
        <w:spacing w:line="480" w:lineRule="auto"/>
        <w:ind w:firstLine="1440"/>
        <w:jc w:val="both"/>
      </w:pPr>
      <w:r>
        <w:t xml:space="preserve">(2)</w:t>
      </w:r>
      <w:r xml:space="preserve">
        <w:t> </w:t>
      </w:r>
      <w:r xml:space="preserve">
        <w:t> </w:t>
      </w:r>
      <w:r>
        <w:t xml:space="preserve">if the executive director determines that there is substantial public interest in the proposed activity.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notice of the public meeting was required to be mailed in a language other than English under Section 5.5531, the commission shall provide in each language in which the notice was required to be 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simultaneous translation of a public meeting by a translator proficiently skilled at translating the applicable language;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translation of the transcript of the meeting.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transcript produced under Subsection (b)(2)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paid for by the applicant for the proposed activity;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publicly available in the same manner and from the same location as other written or audio records of the meeting.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5.555, Water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notice associated with the permit or other authorization is required to be mailed in a language other than English under Section 5.5531, the commission shall provide a translation of the responses to public comment in each language in which the notice was required to be sent.  The applicant shall pay the costs associated with a translation made under this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M, Chapter 5, Water Code, as amended by this Act, applies only to a permit application or an application for a municipal setting designation that is filed with the Texas Commission on Environmental Quality on or after the effective date of this Act.  A permit application or an application for a municipal setting designation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