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registration fees of certain vehicles used by nonprofit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502.454(a), (b),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owner of a commercial motor vehicle, trailer, or semitrailer may apply for registration under Section 502.451 and is exempt from the payment of the registration fee that would otherwise be required by this chapter if the vehicle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owned [</w:t>
      </w:r>
      <w:r>
        <w:rPr>
          <w:strike/>
        </w:rPr>
        <w:t xml:space="preserve">and used exclusively for emergencies</w:t>
      </w:r>
      <w:r>
        <w:t xml:space="preserve">] by a nonprofit disaster relief organization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by the organization exclusively for emergencies, training, equipment maintenance, transportation of disaster relief supplies, or other activities related to disaster relief</w:t>
      </w:r>
      <w:r>
        <w:t xml:space="preserve">.</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w:t>
      </w:r>
      <w:r>
        <w:rPr>
          <w:u w:val="single"/>
        </w:rPr>
        <w:t xml:space="preserve">as described by Subsection (a)</w:t>
      </w:r>
      <w:r>
        <w:t xml:space="preserve"> [</w:t>
      </w:r>
      <w:r>
        <w:rPr>
          <w:strike/>
        </w:rPr>
        <w:t xml:space="preserve">for emergencies</w:t>
      </w:r>
      <w:r>
        <w:t xml:space="preserve">]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w:t>
      </w:r>
      <w:r>
        <w:rPr>
          <w:strike/>
        </w:rPr>
        <w:t xml:space="preserve">not</w:t>
      </w:r>
      <w:r>
        <w:t xml:space="preserve">] been used </w:t>
      </w:r>
      <w:r>
        <w:rPr>
          <w:u w:val="single"/>
        </w:rPr>
        <w:t xml:space="preserve">exclusively as described by Subsection (a)</w:t>
      </w:r>
      <w:r>
        <w:t xml:space="preserve"> [</w:t>
      </w:r>
      <w:r>
        <w:rPr>
          <w:strike/>
        </w:rPr>
        <w:t xml:space="preserve">for any purpose other than emergencies</w:t>
      </w:r>
      <w:r>
        <w:t xml:space="preserve">]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w:t>
      </w:r>
      <w:r>
        <w:rPr>
          <w:strike/>
        </w:rPr>
        <w:t xml:space="preserve">for any purpose</w:t>
      </w:r>
      <w:r>
        <w:t xml:space="preserve">] other than </w:t>
      </w:r>
      <w:r>
        <w:rPr>
          <w:u w:val="single"/>
        </w:rPr>
        <w:t xml:space="preserve">as described by Subsection (a)</w:t>
      </w:r>
      <w:r>
        <w:t xml:space="preserve"> [</w:t>
      </w:r>
      <w:r>
        <w:rPr>
          <w:strike/>
        </w:rPr>
        <w:t xml:space="preserve">an emergency</w:t>
      </w:r>
      <w:r>
        <w:t xml:space="preserve">] may not again be registered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 was passed by the House on April 14,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 was passed by the Senate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