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Morales of Harris,</w:t>
      </w:r>
      <w:r xml:space="preserve">
        <w:tab wTab="150" tlc="none" cTlc="0"/>
      </w:r>
      <w:r>
        <w:t xml:space="preserve">H.B.</w:t>
      </w:r>
      <w:r xml:space="preserve">
        <w:t> </w:t>
      </w:r>
      <w:r>
        <w:t xml:space="preserve">No.</w:t>
      </w:r>
      <w:r xml:space="preserve">
        <w:t> </w:t>
      </w:r>
      <w:r>
        <w:t xml:space="preserve">55</w:t>
      </w:r>
    </w:p>
    <w:p w:rsidR="003F3435" w:rsidRDefault="0032493E">
      <w:pPr>
        <w:jc w:val="both"/>
      </w:pPr>
      <w:r xml:space="preserve">
        <w:t> </w:t>
      </w:r>
      <w:r xml:space="preserve">
        <w:t> </w:t>
      </w:r>
      <w:r xml:space="preserve">
        <w:t> </w:t>
      </w:r>
      <w:r xml:space="preserve">
        <w:t> </w:t>
      </w:r>
      <w:r xml:space="preserve">
        <w:t> </w:t>
      </w:r>
      <w:r>
        <w:t xml:space="preserve">Rogers, Leach, Cook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indecent assault;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22.012, Penal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has been previously convicted of an offense under this section, other than an offense punishable under Paragraph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is a health care services provider or a mental health services provider and the act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during the course of providing a treatment or service to the victim;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beyond the scope of generally accepted practices for the treatment or service;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defendant has been previously convicted of an offense under this section that is punishable under Subdivision (1)(B)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"health care services provider" and "mental health services provider" have the meanings assigned by Section 22.011.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