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 et al.</w:t>
      </w:r>
      <w:r xml:space="preserve">
        <w:tab wTab="150" tlc="none" cTlc="0"/>
      </w:r>
      <w:r>
        <w:t xml:space="preserve">H.B.</w:t>
      </w:r>
      <w:r xml:space="preserve">
        <w:t> </w:t>
      </w:r>
      <w:r>
        <w:t xml:space="preserve">No.</w:t>
      </w:r>
      <w:r xml:space="preserve">
        <w:t> </w:t>
      </w:r>
      <w:r>
        <w:t xml:space="preserve">55</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Springer)</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1,</w:t>
      </w:r>
      <w:r xml:space="preserve">
        <w:t> </w:t>
      </w:r>
      <w:r>
        <w:t xml:space="preserve">2023, read first time and referred to Committee on Criminal Justice;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7,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55</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punishment for the criminal offense of indecent assault;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22.012, Penal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r>
        <w:rPr>
          <w:u w:val="single"/>
        </w:rPr>
        <w:t xml:space="preserv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 it is shown on the trial of the offense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defendant has been previously convicted of an offense under this section, other than an offense punishable under Paragraph (B);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defendant is a health care services provider or a mental health services provider and the act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committed during the course of providing a treatment or service to the victim;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beyond the scope of generally accepted practices for the treatment or service;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 it is shown on the trial of the offense that the defendant has been previously convicted of an offense under this section that is punishable under Subdivision (1)(B)</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section, "health care services provider" and "mental health services provider" have the meanings assigned by Section 22.011.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