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instruction regarding the beginning of human life in the health curriculum for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district that offers kindergarten through grade 12 shall offer, as a required curriculum: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foundation curriculum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English language arts;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mathematics;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science;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social studies, consisting of Texas, United States, and world history, government, economics, with emphasis on the free enterprise system and its benefits, and geography;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enrichment curriculum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the extent possible, languages other than English;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health, with emphasis on: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physical health, including the importance of proper nutrition and exercise;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mental health, including instruction about mental health conditions, substance abuse, skills to manage emotions, establishing and maintaining positive relationships, and responsible decision-making;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suicide prevention, including recognizing suicide-related risk factors and warning signs;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 that human life begins at conception and has inherent dignity and immeasurable worth from the moment of conception;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physical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fine arts;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career and technology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technology applications;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religious literature, including the Hebrew Scriptures (Old Testament) and New Testament, and its impact on history and literature;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personal financial literacy.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