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88R2429 EAS-D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Reynolds</w:t>
      </w:r>
      <w:r xml:space="preserve">
        <w:tab wTab="150" tlc="none" cTlc="0"/>
      </w:r>
      <w:r>
        <w:t xml:space="preserve">H.B.</w:t>
      </w:r>
      <w:r xml:space="preserve">
        <w:t> </w:t>
      </w:r>
      <w:r>
        <w:t xml:space="preserve">No.</w:t>
      </w:r>
      <w:r xml:space="preserve">
        <w:t> </w:t>
      </w:r>
      <w:r>
        <w:t xml:space="preserve">76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reporting the loss or theft of a firearm; creating a criminal offense.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42, Code of Criminal Procedure, is amended by adding Article 42.0184 to read as follows:</w:t>
      </w:r>
    </w:p>
    <w:p w:rsidR="003F3435" w:rsidRDefault="0032493E">
      <w:pPr>
        <w:spacing w:line="480" w:lineRule="auto"/>
        <w:ind w:firstLine="720"/>
        <w:jc w:val="both"/>
      </w:pPr>
      <w:r>
        <w:rPr>
          <w:u w:val="single"/>
        </w:rPr>
        <w:t xml:space="preserve">Art.</w:t>
      </w:r>
      <w:r>
        <w:rPr>
          <w:u w:val="single"/>
        </w:rPr>
        <w:t xml:space="preserve"> </w:t>
      </w:r>
      <w:r>
        <w:rPr>
          <w:u w:val="single"/>
        </w:rPr>
        <w:t xml:space="preserve">42.0184.</w:t>
      </w:r>
      <w:r>
        <w:rPr>
          <w:u w:val="single"/>
        </w:rPr>
        <w:t xml:space="preserve"> </w:t>
      </w:r>
      <w:r>
        <w:rPr>
          <w:u w:val="single"/>
        </w:rPr>
        <w:t xml:space="preserve"> </w:t>
      </w:r>
      <w:r>
        <w:rPr>
          <w:u w:val="single"/>
        </w:rPr>
        <w:t xml:space="preserve">NOTICE OF FAILURE TO REPORT LOST OR STOLEN FIREARM.  Not later than the fifth day after the date a person is convicted of or placed on deferred adjudication community supervision for an offense under Section 46.135, Penal Code, the clerk of the court in which the judgment of conviction or order of deferred adjudication community supervision is entered shall provide to the Department of Public Safety written notice of the conviction or deferred adjudication, including the following information as established by the record in the case: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name of the defendant and any available information about the firearm that was lost or stolen;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date that the defendant became aware the firearm was lost or stolen;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date by which the defendant should have reported the loss or theft to a peace officer or law enforcement agency.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D, Chapter 411, Government Code, is amended by adding Section 411.056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411.056.</w:t>
      </w:r>
      <w:r>
        <w:rPr>
          <w:u w:val="single"/>
        </w:rPr>
        <w:t xml:space="preserve"> </w:t>
      </w:r>
      <w:r>
        <w:rPr>
          <w:u w:val="single"/>
        </w:rPr>
        <w:t xml:space="preserve"> </w:t>
      </w:r>
      <w:r>
        <w:rPr>
          <w:u w:val="single"/>
        </w:rPr>
        <w:t xml:space="preserve">REPORT TO DEPARTMENT OF LOST OR STOLEN FIREARM.  (a)  A peace officer who receives a report from the owner of a firearm or the owner's agent that the firearm was lost or stolen shall report the loss or theft to the department.  The report must include the following information: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name of the owner and any available information about the firearm;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date that the owner became aware the firearm was lost or stolen.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shall maintain a report received under Subsection (a) or notice received under Article 42.0184, Code of Criminal Procedure, until the fifth anniversary of the date that the owner whose firearm is the subject of the report became aware the firearm was lost or stolen.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411.172(a), Government Code, is amended to read as follows:</w:t>
      </w:r>
    </w:p>
    <w:p w:rsidR="003F3435" w:rsidRDefault="0032493E">
      <w:pPr>
        <w:spacing w:line="480" w:lineRule="auto"/>
        <w:ind w:firstLine="720"/>
        <w:jc w:val="both"/>
      </w:pPr>
      <w:r>
        <w:t xml:space="preserve">(a)</w:t>
      </w:r>
      <w:r xml:space="preserve">
        <w:t> </w:t>
      </w:r>
      <w:r xml:space="preserve">
        <w:t> </w:t>
      </w:r>
      <w:r>
        <w:t xml:space="preserve">A person is eligible for a license to carry a handgun if the person:</w:t>
      </w:r>
    </w:p>
    <w:p w:rsidR="003F3435" w:rsidRDefault="0032493E">
      <w:pPr>
        <w:spacing w:line="480" w:lineRule="auto"/>
        <w:ind w:firstLine="1440"/>
        <w:jc w:val="both"/>
      </w:pPr>
      <w:r>
        <w:t xml:space="preserve">(1)</w:t>
      </w:r>
      <w:r xml:space="preserve">
        <w:t> </w:t>
      </w:r>
      <w:r xml:space="preserve">
        <w:t> </w:t>
      </w:r>
      <w:r>
        <w:t xml:space="preserve">is a legal resident of this state for the six-month period preceding the date of application under this subchapter or is otherwise eligible for a license under Section 411.173(a);</w:t>
      </w:r>
    </w:p>
    <w:p w:rsidR="003F3435" w:rsidRDefault="0032493E">
      <w:pPr>
        <w:spacing w:line="480" w:lineRule="auto"/>
        <w:ind w:firstLine="1440"/>
        <w:jc w:val="both"/>
      </w:pPr>
      <w:r>
        <w:t xml:space="preserve">(2)</w:t>
      </w:r>
      <w:r xml:space="preserve">
        <w:t> </w:t>
      </w:r>
      <w:r xml:space="preserve">
        <w:t> </w:t>
      </w:r>
      <w:r>
        <w:t xml:space="preserve">is at least 21 years of age;</w:t>
      </w:r>
    </w:p>
    <w:p w:rsidR="003F3435" w:rsidRDefault="0032493E">
      <w:pPr>
        <w:spacing w:line="480" w:lineRule="auto"/>
        <w:ind w:firstLine="1440"/>
        <w:jc w:val="both"/>
      </w:pPr>
      <w:r>
        <w:t xml:space="preserve">(3)</w:t>
      </w:r>
      <w:r xml:space="preserve">
        <w:t> </w:t>
      </w:r>
      <w:r xml:space="preserve">
        <w:t> </w:t>
      </w:r>
      <w:r>
        <w:t xml:space="preserve">has not been convicted of a felony;</w:t>
      </w:r>
    </w:p>
    <w:p w:rsidR="003F3435" w:rsidRDefault="0032493E">
      <w:pPr>
        <w:spacing w:line="480" w:lineRule="auto"/>
        <w:ind w:firstLine="1440"/>
        <w:jc w:val="both"/>
      </w:pPr>
      <w:r>
        <w:t xml:space="preserve">(4)</w:t>
      </w:r>
      <w:r xml:space="preserve">
        <w:t> </w:t>
      </w:r>
      <w:r xml:space="preserve">
        <w:t> </w:t>
      </w:r>
      <w:r>
        <w:t xml:space="preserve">is not charged with the commission of a Class A or Class B misdemeanor or equivalent offense, or of an offense under Section 42.01, Penal Code, or equivalent offense, or of a felony under an information or indictment;</w:t>
      </w:r>
    </w:p>
    <w:p w:rsidR="003F3435" w:rsidRDefault="0032493E">
      <w:pPr>
        <w:spacing w:line="480" w:lineRule="auto"/>
        <w:ind w:firstLine="1440"/>
        <w:jc w:val="both"/>
      </w:pPr>
      <w:r>
        <w:t xml:space="preserve">(5)</w:t>
      </w:r>
      <w:r xml:space="preserve">
        <w:t> </w:t>
      </w:r>
      <w:r xml:space="preserve">
        <w:t> </w:t>
      </w:r>
      <w:r>
        <w:t xml:space="preserve">is not a fugitive from justice for a felony or a Class A or Class B misdemeanor or equivalent offense;</w:t>
      </w:r>
    </w:p>
    <w:p w:rsidR="003F3435" w:rsidRDefault="0032493E">
      <w:pPr>
        <w:spacing w:line="480" w:lineRule="auto"/>
        <w:ind w:firstLine="1440"/>
        <w:jc w:val="both"/>
      </w:pPr>
      <w:r>
        <w:t xml:space="preserve">(6)</w:t>
      </w:r>
      <w:r xml:space="preserve">
        <w:t> </w:t>
      </w:r>
      <w:r xml:space="preserve">
        <w:t> </w:t>
      </w:r>
      <w:r>
        <w:t xml:space="preserve">is not a chemically dependent person;</w:t>
      </w:r>
    </w:p>
    <w:p w:rsidR="003F3435" w:rsidRDefault="0032493E">
      <w:pPr>
        <w:spacing w:line="480" w:lineRule="auto"/>
        <w:ind w:firstLine="1440"/>
        <w:jc w:val="both"/>
      </w:pPr>
      <w:r>
        <w:t xml:space="preserve">(7)</w:t>
      </w:r>
      <w:r xml:space="preserve">
        <w:t> </w:t>
      </w:r>
      <w:r xml:space="preserve">
        <w:t> </w:t>
      </w:r>
      <w:r>
        <w:t xml:space="preserve">is not incapable of exercising sound judgment with respect to the proper use and storage of a handgun;</w:t>
      </w:r>
    </w:p>
    <w:p w:rsidR="003F3435" w:rsidRDefault="0032493E">
      <w:pPr>
        <w:spacing w:line="480" w:lineRule="auto"/>
        <w:ind w:firstLine="1440"/>
        <w:jc w:val="both"/>
      </w:pPr>
      <w:r>
        <w:t xml:space="preserve">(8)</w:t>
      </w:r>
      <w:r xml:space="preserve">
        <w:t> </w:t>
      </w:r>
      <w:r xml:space="preserve">
        <w:t> </w:t>
      </w:r>
      <w:r>
        <w:t xml:space="preserve">has not, in the five years preceding the date of application, been convicted of a Class A or Class B misdemeanor or equivalent offense</w:t>
      </w:r>
      <w:r>
        <w:rPr>
          <w:u w:val="single"/>
        </w:rPr>
        <w:t xml:space="preserve">,</w:t>
      </w:r>
      <w:r>
        <w:t xml:space="preserve"> [</w:t>
      </w:r>
      <w:r>
        <w:rPr>
          <w:strike/>
        </w:rPr>
        <w:t xml:space="preserve">or</w:t>
      </w:r>
      <w:r>
        <w:t xml:space="preserve">] of an offense under Section 42.01, Penal Code, or equivalent offense</w:t>
      </w:r>
      <w:r>
        <w:rPr>
          <w:u w:val="single"/>
        </w:rPr>
        <w:t xml:space="preserve">, or of an offense under Section 46.135, Penal Code</w:t>
      </w:r>
      <w:r>
        <w:t xml:space="preserve">;</w:t>
      </w:r>
    </w:p>
    <w:p w:rsidR="003F3435" w:rsidRDefault="0032493E">
      <w:pPr>
        <w:spacing w:line="480" w:lineRule="auto"/>
        <w:ind w:firstLine="1440"/>
        <w:jc w:val="both"/>
      </w:pPr>
      <w:r>
        <w:t xml:space="preserve">(9)</w:t>
      </w:r>
      <w:r xml:space="preserve">
        <w:t> </w:t>
      </w:r>
      <w:r xml:space="preserve">
        <w:t> </w:t>
      </w:r>
      <w:r>
        <w:t xml:space="preserve">is fully qualified under applicable federal and state law to purchase a handgun;</w:t>
      </w:r>
    </w:p>
    <w:p w:rsidR="003F3435" w:rsidRDefault="0032493E">
      <w:pPr>
        <w:spacing w:line="480" w:lineRule="auto"/>
        <w:ind w:firstLine="1440"/>
        <w:jc w:val="both"/>
      </w:pPr>
      <w:r>
        <w:t xml:space="preserve">(10)</w:t>
      </w:r>
      <w:r xml:space="preserve">
        <w:t> </w:t>
      </w:r>
      <w:r xml:space="preserve">
        <w:t> </w:t>
      </w:r>
      <w:r>
        <w:t xml:space="preserve">has not been finally determined to be delinquent in making a child support payment administered or collected by the attorney general;</w:t>
      </w:r>
    </w:p>
    <w:p w:rsidR="003F3435" w:rsidRDefault="0032493E">
      <w:pPr>
        <w:spacing w:line="480" w:lineRule="auto"/>
        <w:ind w:firstLine="1440"/>
        <w:jc w:val="both"/>
      </w:pPr>
      <w:r>
        <w:t xml:space="preserve">(11)</w:t>
      </w:r>
      <w:r xml:space="preserve">
        <w:t> </w:t>
      </w:r>
      <w:r xml:space="preserve">
        <w:t> </w:t>
      </w:r>
      <w:r>
        <w:t xml:space="preserve">has not been finally determined to be delinquent in the payment of a tax or other money collected by the comptroller, the tax collector of a political subdivision of the state, or any agency or subdivision of the state;</w:t>
      </w:r>
    </w:p>
    <w:p w:rsidR="003F3435" w:rsidRDefault="0032493E">
      <w:pPr>
        <w:spacing w:line="480" w:lineRule="auto"/>
        <w:ind w:firstLine="1440"/>
        <w:jc w:val="both"/>
      </w:pPr>
      <w:r>
        <w:t xml:space="preserve">(12)</w:t>
      </w:r>
      <w:r xml:space="preserve">
        <w:t> </w:t>
      </w:r>
      <w:r xml:space="preserve">
        <w:t> </w:t>
      </w:r>
      <w:r>
        <w:t xml:space="preserve">is not currently restricted under a court protective order or subject to a restraining order affecting the spousal relationship, other than a restraining order solely affecting property interests;</w:t>
      </w:r>
    </w:p>
    <w:p w:rsidR="003F3435" w:rsidRDefault="0032493E">
      <w:pPr>
        <w:spacing w:line="480" w:lineRule="auto"/>
        <w:ind w:firstLine="1440"/>
        <w:jc w:val="both"/>
      </w:pPr>
      <w:r>
        <w:t xml:space="preserve">(13)</w:t>
      </w:r>
      <w:r xml:space="preserve">
        <w:t> </w:t>
      </w:r>
      <w:r xml:space="preserve">
        <w:t> </w:t>
      </w:r>
      <w:r>
        <w:t xml:space="preserve">has not, in the 10 years preceding the date of application, been adjudicated as having engaged in delinquent conduct violating a penal law of the grade of felony; and</w:t>
      </w:r>
    </w:p>
    <w:p w:rsidR="003F3435" w:rsidRDefault="0032493E">
      <w:pPr>
        <w:spacing w:line="480" w:lineRule="auto"/>
        <w:ind w:firstLine="1440"/>
        <w:jc w:val="both"/>
      </w:pPr>
      <w:r>
        <w:t xml:space="preserve">(14)</w:t>
      </w:r>
      <w:r xml:space="preserve">
        <w:t> </w:t>
      </w:r>
      <w:r xml:space="preserve">
        <w:t> </w:t>
      </w:r>
      <w:r>
        <w:t xml:space="preserve">has not made any material misrepresentation, or failed to disclose any material fact, in an application submitted pursuant to Section 411.174.</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411.176(a), Government Code, is amended to read as follows:</w:t>
      </w:r>
    </w:p>
    <w:p w:rsidR="003F3435" w:rsidRDefault="0032493E">
      <w:pPr>
        <w:spacing w:line="480" w:lineRule="auto"/>
        <w:ind w:firstLine="720"/>
        <w:jc w:val="both"/>
      </w:pPr>
      <w:r>
        <w:t xml:space="preserve">(a)</w:t>
      </w:r>
      <w:r xml:space="preserve">
        <w:t> </w:t>
      </w:r>
      <w:r xml:space="preserve">
        <w:t> </w:t>
      </w:r>
      <w:r>
        <w:t xml:space="preserve">On receipt of application materials by the department at its Austin headquarters, the department shall conduct the appropriate criminal history record check of the applicant through its computerized criminal history system </w:t>
      </w:r>
      <w:r>
        <w:rPr>
          <w:u w:val="single"/>
        </w:rPr>
        <w:t xml:space="preserve">and shall review any records received under Article 42.0184, Code of Criminal Procedure, that concern the applicant</w:t>
      </w:r>
      <w:r>
        <w:t xml:space="preserve">.  Not later than the 30th day after the date the department receives the application materials, the department shall forward the materials to the director's designee in the geographical area of the applicant's residence so that the designee may conduct the investigation described by Subsection (b).  For purposes of this section, the director's designee may be a noncommissioned employee of the department.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411.186(a),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The department shall revoke a license under this section if the license holder:</w:t>
      </w:r>
    </w:p>
    <w:p w:rsidR="003F3435" w:rsidRDefault="0032493E">
      <w:pPr>
        <w:spacing w:line="480" w:lineRule="auto"/>
        <w:ind w:firstLine="1440"/>
        <w:jc w:val="both"/>
      </w:pPr>
      <w:r>
        <w:t xml:space="preserve">(1)</w:t>
      </w:r>
      <w:r xml:space="preserve">
        <w:t> </w:t>
      </w:r>
      <w:r xml:space="preserve">
        <w:t> </w:t>
      </w:r>
      <w:r>
        <w:t xml:space="preserve">was not entitled to the license at the time it was issued;</w:t>
      </w:r>
    </w:p>
    <w:p w:rsidR="003F3435" w:rsidRDefault="0032493E">
      <w:pPr>
        <w:spacing w:line="480" w:lineRule="auto"/>
        <w:ind w:firstLine="1440"/>
        <w:jc w:val="both"/>
      </w:pPr>
      <w:r>
        <w:t xml:space="preserve">(2)</w:t>
      </w:r>
      <w:r xml:space="preserve">
        <w:t> </w:t>
      </w:r>
      <w:r xml:space="preserve">
        <w:t> </w:t>
      </w:r>
      <w:r>
        <w:t xml:space="preserve">made a material misrepresentation or failed to disclose a material fact in an application submitted under this subchapter;</w:t>
      </w:r>
    </w:p>
    <w:p w:rsidR="003F3435" w:rsidRDefault="0032493E">
      <w:pPr>
        <w:spacing w:line="480" w:lineRule="auto"/>
        <w:ind w:firstLine="1440"/>
        <w:jc w:val="both"/>
      </w:pPr>
      <w:r>
        <w:t xml:space="preserve">(3)</w:t>
      </w:r>
      <w:r xml:space="preserve">
        <w:t> </w:t>
      </w:r>
      <w:r xml:space="preserve">
        <w:t> </w:t>
      </w:r>
      <w:r>
        <w:t xml:space="preserve">subsequently becomes ineligible for a license under Section 411.172, unless the sole basis for the ineligibility is that the license holder is charged with the commission of a Class A or Class B misdemeanor or equivalent offense, or of an offense under Section 42.01, Penal Code, or equivalent offense, or of a felony under an information or indictment;</w:t>
      </w:r>
    </w:p>
    <w:p w:rsidR="003F3435" w:rsidRDefault="0032493E">
      <w:pPr>
        <w:spacing w:line="480" w:lineRule="auto"/>
        <w:ind w:firstLine="1440"/>
        <w:jc w:val="both"/>
      </w:pPr>
      <w:r>
        <w:t xml:space="preserve">(4)</w:t>
      </w:r>
      <w:r xml:space="preserve">
        <w:t> </w:t>
      </w:r>
      <w:r xml:space="preserve">
        <w:t> </w:t>
      </w:r>
      <w:r>
        <w:rPr>
          <w:u w:val="single"/>
        </w:rPr>
        <w:t xml:space="preserve">is convicted of an offense under Section 46.135, Penal Code;</w:t>
      </w:r>
    </w:p>
    <w:p w:rsidR="003F3435" w:rsidRDefault="0032493E">
      <w:pPr>
        <w:spacing w:line="480" w:lineRule="auto"/>
        <w:ind w:firstLine="1440"/>
        <w:jc w:val="both"/>
      </w:pPr>
      <w:r>
        <w:rPr>
          <w:u w:val="single"/>
        </w:rPr>
        <w:t xml:space="preserve">(5)</w:t>
      </w:r>
      <w:r xml:space="preserve">
        <w:t> </w:t>
      </w:r>
      <w:r xml:space="preserve">
        <w:t> </w:t>
      </w:r>
      <w:r>
        <w:t xml:space="preserve">is determined by the department to have engaged in conduct constituting a reason to suspend a license listed in Section 411.187(a) after the person's license has been previously suspended twice for the same reason; or</w:t>
      </w:r>
    </w:p>
    <w:p w:rsidR="003F3435" w:rsidRDefault="0032493E">
      <w:pPr>
        <w:spacing w:line="480" w:lineRule="auto"/>
        <w:ind w:firstLine="1440"/>
        <w:jc w:val="both"/>
      </w:pPr>
      <w:r>
        <w:rPr>
          <w:u w:val="single"/>
        </w:rPr>
        <w:t xml:space="preserve">(6)</w:t>
      </w:r>
      <w:r xml:space="preserve">
        <w:t> </w:t>
      </w:r>
      <w:r>
        <w:t xml:space="preserve">[</w:t>
      </w:r>
      <w:r>
        <w:rPr>
          <w:strike/>
        </w:rPr>
        <w:t xml:space="preserve">(5)</w:t>
      </w:r>
      <w:r>
        <w:t xml:space="preserve">]</w:t>
      </w:r>
      <w:r xml:space="preserve">
        <w:t> </w:t>
      </w:r>
      <w:r xml:space="preserve">
        <w:t> </w:t>
      </w:r>
      <w:r>
        <w:t xml:space="preserve">submits an application fee that is dishonored or reversed if the applicant fails to submit a cashier's check or money order made payable to the "Department of Public Safety of the State of Texas" in the amount of the dishonored or reversed fee, plus $25, within 30 days of being notified by the department that the fee was dishonored or reversed.</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Chapter 46, Penal Code, is amended by adding Section 46.135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46.135.</w:t>
      </w:r>
      <w:r>
        <w:rPr>
          <w:u w:val="single"/>
        </w:rPr>
        <w:t xml:space="preserve"> </w:t>
      </w:r>
      <w:r>
        <w:rPr>
          <w:u w:val="single"/>
        </w:rPr>
        <w:t xml:space="preserve"> </w:t>
      </w:r>
      <w:r>
        <w:rPr>
          <w:u w:val="single"/>
        </w:rPr>
        <w:t xml:space="preserve">FAILURE TO REPORT LOST OR STOLEN FIREARM.  (a)  A person commits an offense if the person: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owns a firearm that is subsequently lost by or stolen from the person;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fails to report the loss or theft, or cause a report of the loss or theft to be made, to a peace officer or law enforcement agency on or before the fifth day after the date the person became aware the firearm was lost or stolen.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section is a Class C misdemeanor.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conduct constituting an offense under this section also constitutes an offense under another section of this code, the actor may be prosecuted under either section or under both sections.</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Sections 411.172(a)(8) and 411.186(a)(4), Government Code, as amended by this Act, and Section 46.135, Penal Code, as added by this Act, apply only to a firearm that is lost or stolen on or after the effective date of this Act.  A firearm that was lost or stolen before the effective date of this Act is governed by the law in effect on the date the firearm was lost or stolen, and the former law is continued in effect for that purpose.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76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