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88R1518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Ortega, Ordaz, González of El Paso,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of Maverick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by referendum of an optional county fee on vehicle registration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502, Transportation Code, is amended by adding Section 502.4021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502.4021.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OPTIONAL COUNTY FEE FOR TRANSPORTATION PROJECTS APPROVED BY METROPOLITAN PLANNING ORGANIZATION.  (a)  This section applies only to a county that borders the United Mexican States and contains a municipality that unilaterally created a regional mobility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impose, in addition to any fee imposed under Section 502.402 or another provision of this chapter, a fee of not more than $10 for a vehicle registered in the county if approved by a majority of the qualified voters of the county voting at an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that may be registered under this chapter without payment of a registration fee may be registered under this section without payment of the additional fee.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 imposed under this section may take effect and be removed in accordance with the requirements of Section 502.401.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additional fee shall be collected for a vehicle when other fees imposed under this chapter are collected.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revenue collected shall be sent to a regional mobility authority located in the county to fund long-term transportation projects in the county that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consistent with the purposes specified by Section 7-a, Article VIII,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included in a plan approved by the metropolitan planning organization that serves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 necessary to administer registration for a vehicle being registered in a county imposing a fee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