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88R1518 AMF-F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Ortega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78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authorization by referendum of an optional county fee on vehicle registration in certain counties.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H, Chapter 502, Transportation Code, is amended by adding Section 502.4021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502.4021.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OPTIONAL COUNTY FEE FOR TRANSPORTATION PROJECTS APPROVED BY METROPOLITAN PLANNING ORGANIZATION.  (a)  This section applies only to a county that borders the United Mexican States and contains a municipality that unilaterally created a regional mobility authority.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commissioners court of a county by order may impose, in addition to any fee imposed under Section 502.402 or another provision of this chapter, a fee of not more than $10 for a vehicle registered in the county if approved by a majority of the qualified voters of the county voting at an election, which the commissioners court may order and hold for that purpose.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vehicle that may be registered under this chapter without payment of a registration fee may be registered under this section without payment of the additional fee.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fee imposed under this section may take effect and be removed in accordance with the requirements of Section 502.401.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additional fee shall be collected for a vehicle when other fees imposed under this chapter are collected.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fee revenue collected shall be sent to a regional mobility authority located in the county to fund long-term transportation projects in the county that are: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consistent with the purposes specified by Section 7-a, Article VIII, Texas Constitution;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included in a plan approved by the metropolitan planning organization that serves the county.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shall adopt rules necessary to administer registration for a vehicle being registered in a county imposing a fee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78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