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leave for victims of domestic violence, sexual assault, and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w:t xml:space="preserve">.</w:t>
      </w:r>
      <w:r xml:space="preserve">
        <w:t> </w:t>
      </w:r>
      <w:r xml:space="preserve">
        <w:t> </w:t>
      </w:r>
      <w:r>
        <w:t xml:space="preserve">Subtitle A, Title 2, Labor Code, is amended by adding Chapter 25 to read as follows:</w:t>
      </w:r>
    </w:p>
    <w:p w:rsidR="003F3435" w:rsidRDefault="0032493E">
      <w:pPr>
        <w:spacing w:line="480" w:lineRule="auto"/>
        <w:jc w:val="center"/>
      </w:pPr>
      <w:r>
        <w:rPr>
          <w:u w:val="single"/>
        </w:rPr>
        <w:t xml:space="preserve">CHAPTER 25: EMPLOYMENT LEAVE FOR VICTIMS OF DOMESTIC VIOLENCE, SEXUAL ASSAULT, AND STALKING.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w:t>
      </w:r>
      <w:r>
        <w:rPr>
          <w:u w:val="single"/>
        </w:rPr>
        <w:t xml:space="preserve"> </w:t>
      </w:r>
      <w:r>
        <w:rPr>
          <w:u w:val="single"/>
        </w:rPr>
        <w:t xml:space="preserve"> </w:t>
      </w:r>
      <w:r>
        <w:rPr>
          <w:u w:val="single"/>
        </w:rPr>
        <w:t xml:space="preserve">GENERAL PROVISIONS.  (a)  An employer shall not discharge or in any manner discriminate against an employee for taking time off to serve as required by law on an inquest jury or trial jury, if the employee, prior to taking the time off, gives reasonable notice to the employer that the employee is required to 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shall not discharge or in any manner discriminate or retaliate against an employee, including, but not limited to, an employee who is a victim of a crime, for taking time off to appear in court to comply with a subpoena or other court order as a witness in any judicial proceeding.</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shall not discharge or in any manner discriminate or retaliate against an employee who is a victim for taking time off from work to obtain or attempt to obtain any relief. </w:t>
      </w:r>
      <w:r>
        <w:rPr>
          <w:u w:val="single"/>
        </w:rPr>
        <w:t xml:space="preserve"> </w:t>
      </w:r>
      <w:r>
        <w:rPr>
          <w:u w:val="single"/>
        </w:rPr>
        <w:t xml:space="preserve">Relief includes, but is not limited to, a temporary restraining order, restraining order, or other injunctive relief, to help ensure the health, safety, or welfare of the victim or their child.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As a condition of taking time off for a purpose set forth in subdivision (c), the employee shall give the employer reasonable advance notice of the employee's intention to take time off, unless the advance notice is not feasible.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an unscheduled absence occurs, the employer shall not take any action against the employee if the employee, within a reasonable time after the absence, provides a certification to the employer.  Certification shall be sufficient in the form of any of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police report indicating that the employee was a victim.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court order protecting or separating the employee from the perpetrator of the crime or abuse, or other evidence from the court or prosecuting attorney that the employee has appeared in court.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Documentation from a licensed medical professional, domestic violence counselor, a sexual assault counselor, victim advocate, licensed health care provider, or counselor that the employee was undergoing treatment or receiving services for physical or mental injuries or abuse resulting in victimization from the crime or abuse.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form of documentation that reasonably verifies that the crime or abuse occurred, including but not limited to, a written statement signed by the employee, or an individual acting on the employee's behalf, certifying that the absence is for a purpose authorized under this section.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allowed by law the employer shall maintain the confidentiality of any </w:t>
      </w:r>
      <w:r>
        <w:rPr>
          <w:u w:val="single"/>
        </w:rPr>
        <w:t xml:space="preserve">employee requesting leave.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employer shall not discharge or in any manner discriminate or retaliate against an employee because of the employee's status as a victim of crime or abuse, if the employee provides notice to the employer of the status or the employer has actual knowledge of the status.</w:t>
      </w:r>
      <w:r>
        <w:t xml:space="preserve"> </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employer shall provide reasonable accommodations for a victim of domestic violence, sexual assault, or stalking, who requests an accommodation for the safety of the victim while at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this subdivision, reasonable accommodations may include the implementation of safety measures, including a transfer, reassignment, modified schedule, changed work telephone, changed work station, installed lock, assistance in documenting domestic violence, sexual assault, stalking, or other crime that occurs in the workplace, an implemented safety procedure, or another adjustment to a job structure, workplace facility, or work requirement in response to domestic violence, sexual assault, stalking, or other crime, or referral to a victim assistance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employer is not required to provide a reasonable accommodation to an employee who has not disclosed the employee's status as a victim of domestic violence, sexual assault, or stalking.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employer shall engage in a timely, good faith, and interactive process with the employee to determine effective reasonable accommodations.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determining whether the accommodation is reasonable, the employer shall consider an exigent circumstance or danger facing the employee.</w:t>
      </w:r>
    </w:p>
    <w:p w:rsidR="003F3435" w:rsidRDefault="0032493E">
      <w:pPr>
        <w:spacing w:line="480" w:lineRule="auto"/>
        <w:ind w:firstLine="720"/>
        <w:jc w:val="both"/>
      </w:pPr>
      <w:r>
        <w:t xml:space="preserve">SECTION 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