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88R4115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notarized affidavit requesting a municipal animal control authority to manage dangerous dogs and aggressive dogs in the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822, Health and Safety Code, is amended by adding Section 822.008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822.008.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NOTARIZED AFFIDAVIT REQUESTING MUNICIPAL ANIMAL CONTROL AUTHORITY TO OPERATE IN EXTRATERRITORIAL JURISDICTION.  (a)  In this section, "aggressive dog" means a dog that makes an unprovoked attack on a domestic animal or livestock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causes bodily injury to the animal or livestock;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occurs in a place other than an enclosure: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the dog was being kept;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reasonably secured to prevent the dog from leaving the enclosure.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animal control authority may impound and manage dangerous dogs and aggressive dogs in the municipality's extraterritorial jurisdiction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receives a notarized affidavit signed by at least two residents from different households in the extraterritorial jurisdiction requesting assistance from the authority and alleging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dangerous dogs or aggressive dogs have repeatedly attacked humans, domestic animals, or livestock within the extraterritorial jurisdiction;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due to the presence of dangerous dogs or aggressive dogs, the extraterritorial jurisdiction is an unsafe environment for humans, domestic animals, or livestock;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extraterritorial jurisdiction: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animal control authority is authorized to operate;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operating animal control authority does not provide for the impoundment or management of dangerous dogs or aggressive dogs.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