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88R3345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the provision of certain medical treatments involving COVID-19 vaccination.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"[t]he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Ctr.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being vaccinated against COVID-19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being vaccinated against COVID-19 contrary to the individual's</w:t>
      </w:r>
      <w:r>
        <w:t xml:space="preserve"> </w:t>
      </w:r>
      <w:r>
        <w:t xml:space="preserve">preference is inconsistent with the principles of informed consent; and</w:t>
      </w:r>
    </w:p>
    <w:p w:rsidR="003F3435" w:rsidRDefault="0032493E">
      <w:pPr>
        <w:spacing w:line="480" w:lineRule="auto"/>
        <w:ind w:firstLine="1440"/>
        <w:jc w:val="both"/>
      </w:pPr>
      <w:r>
        <w:t xml:space="preserve">(8)</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REQUIRED FOR MEDICAL TREATMENTS INVOLVING COVID-19 VACCINATION.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w:t>
      </w:r>
      <w:r>
        <w:rPr>
          <w:u w:val="single"/>
        </w:rPr>
        <w:t xml:space="preserve"> </w:t>
      </w:r>
      <w:r>
        <w:rPr>
          <w:u w:val="single"/>
        </w:rPr>
        <w:t xml:space="preserve">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an individual lacks the capacity to provide informed consent for a medical treatment involving the administration of a COVID-19 vaccine if the individual has been compelled or coerced into being vaccinated against COVID-19 contrary to the individual's vaccination preference.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w:t>
      </w:r>
      <w:r>
        <w:rPr>
          <w:u w:val="single"/>
        </w:rPr>
        <w:t xml:space="preserve"> </w:t>
      </w:r>
      <w:r>
        <w:rPr>
          <w:u w:val="single"/>
        </w:rPr>
        <w:t xml:space="preserve">In an action brought under this subsection, a claimant may recover reasonable expenses incurred in bringing the action, including court costs, reasonable attorney's fees, investigation costs, witness fees, and deposition expenses. </w:t>
      </w:r>
      <w:r>
        <w:rPr>
          <w:u w:val="single"/>
        </w:rPr>
        <w:t xml:space="preserve"> </w:t>
      </w:r>
      <w:r>
        <w:rPr>
          <w:u w:val="single"/>
        </w:rPr>
        <w:t xml:space="preserve">Sections 41.003 and 41.004, Civil Practice and Remedies Code, do not apply to an action brought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