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88R2874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maintenance on heating and air conditioning systems at public school instructional facilities and to the liability of certain facilities handling hazardous substances for damages caused to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38.039.</w:t>
      </w:r>
      <w:r>
        <w:rPr>
          <w:u w:val="single"/>
        </w:rPr>
        <w:t xml:space="preserve"> </w:t>
      </w:r>
      <w:r>
        <w:rPr>
          <w:u w:val="single"/>
        </w:rPr>
        <w:t xml:space="preserve"> </w:t>
      </w:r>
      <w:r>
        <w:rPr>
          <w:u w:val="single"/>
        </w:rPr>
        <w:t xml:space="preserve">MANDATORY MAINTENANCE ON HEATING AND AIR CONDITIONING SYSTEM.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hazard" and "physical hazard" have the meanings assigned by Section 505.004,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school district shall for each instructional facility of the district clean and replace heating and air conditioning system filters in accordance with a schedule recommended by a local fire department, county emergency management authority, or other qualified local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replace a heating and air conditioning system filter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is issued under Section 505.017, Health and Safety Code, that a health hazard or physical hazard exists not more than two miles from the instructional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determines that the hazard for which notice is issued under Subdivision (1) has compromised or adversely affected the filtration system of the instructional facility's heating and air conditioning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local fire department, county emergency management authority, or other qualified local authority recommends that the filter be replaced as a result of the hazard for which notice is issued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501, Health and Safety Code, is amended by adding Section 501.038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501.038.</w:t>
      </w:r>
      <w:r>
        <w:rPr>
          <w:u w:val="single"/>
        </w:rPr>
        <w:t xml:space="preserve"> </w:t>
      </w:r>
      <w:r>
        <w:rPr>
          <w:u w:val="single"/>
        </w:rPr>
        <w:t xml:space="preserve"> </w:t>
      </w:r>
      <w:r>
        <w:rPr>
          <w:u w:val="single"/>
        </w:rPr>
        <w:t xml:space="preserve">LIABILITY.  The owner or operator of a facility subject to Chapter 505, 506, or 507 is liable to a school district or open-enrollment charter school for damages to the heating and air conditioning system of a district or school instructional facility, as defined by Section 46.001, Education Code, resulting from an explosion, release, or other event caused by the facility for which a notice was issued under Section 505.017.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