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and municipal authority regarding certain medical and health care billing by ambulance service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113.902(a), Local Government Code, is </w:t>
      </w:r>
      <w:r>
        <w:t xml:space="preserve">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140.013, the </w:t>
      </w:r>
      <w:r>
        <w:t xml:space="preserve"> </w:t>
      </w:r>
      <w:r>
        <w:t xml:space="preserve">[</w:t>
      </w:r>
      <w:r>
        <w:rPr>
          <w:strike/>
        </w:rPr>
        <w:t xml:space="preserve">The</w:t>
      </w:r>
      <w:r>
        <w:t xml:space="preserve">] county treasurer shall direct prosecution for the recovery of any debt owed to the county, as provided by law, and shall supervise the collection of the debt.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140, Local Government Code, is amended by adding Section 140.013 to read as follows:</w:t>
      </w:r>
    </w:p>
    <w:p w:rsidR="003F3435" w:rsidRDefault="0032493E">
      <w:pPr>
        <w:spacing w:line="480" w:lineRule="auto"/>
        <w:ind w:firstLine="720"/>
        <w:jc w:val="both"/>
      </w:pPr>
      <w:r>
        <w:rPr>
          <w:u w:val="single"/>
        </w:rPr>
        <w:t xml:space="preserve">Sec. 140.013. BALANCE BILLING FOR COUNTY AND MUNICIPAL AMBULANCE SERVICES. (a) "Balance billing" means the practice of charging an enrollee in a health benefit plan to recover from the enrollee the balance of a health care provider's fee for a service received by the enrollee from the health care provider that is not fully reimbursed by the enrollee's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or municipality may elect to consider a health benefit plan payment towards a claim for air or ground ambulance services provided by the county or municipality as payment in full for those services regardless of the amount the county or municipality charged for those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or municipality may not practice balance billing for a claim for which the county or municipality makes an election under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