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for certain repeat intoxication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49.04, 49.045, 49.05, 49.06, 49.065, 49.07, or 49.08, Penal Code, if it is shown that the defendant has been previously convicted two or more times of one of those offenses or any combination of those offenses;</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