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88R3761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membership of the Texas Transportation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members shall be appointed to reflect the diverse geographic regions and population groups of this state. </w:t>
      </w:r>
      <w:r>
        <w:t xml:space="preserve"> </w:t>
      </w:r>
      <w:r>
        <w:rPr>
          <w:u w:val="single"/>
        </w:rPr>
        <w:t xml:space="preserve">At least one</w:t>
      </w:r>
      <w:r>
        <w:t xml:space="preserve"> [</w:t>
      </w:r>
      <w:r>
        <w:rPr>
          <w:strike/>
        </w:rPr>
        <w:t xml:space="preserve">One</w:t>
      </w:r>
      <w:r>
        <w:t xml:space="preserve">] member must reside in a rural area and be a registered voter of a county with a population of less than 150,000. </w:t>
      </w:r>
      <w:r>
        <w:t xml:space="preserve"> </w:t>
      </w:r>
      <w:r>
        <w:rPr>
          <w:u w:val="single"/>
        </w:rPr>
        <w:t xml:space="preserve">At least one member must reside and be a registered voter in a county bordering the United Mexican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in the qualifications of members of the Texas Transportation Commission do not affect the entitlement of a member serving on the commission immediately before the effective date of this Act to continue to serve for the remainder of the member's term.  As the terms of commission members expire, the governor shall appoint or reappoint a member who has the qualifications required for a member under Section 201.051, Transportation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