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appointment of a retired or former judge as a visiting judge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26.012,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26.012.</w:t>
      </w:r>
      <w:r xml:space="preserve">
        <w:t> </w:t>
      </w:r>
      <w:r xml:space="preserve">
        <w:t> </w:t>
      </w:r>
      <w:r>
        <w:t xml:space="preserve">ASSIGNMENT OF VISITING JUDGE FOR PROBATE, GUARDIANSHIP, AND MENTAL HEALTH MATTERS. 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If the county judge is absent, incapacitated, recused, or disqualified to act in a probate, guardianship, or mental health matter, a visiting judge shall be assigned in accordance with Section 25.0022(h).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25.0022(t)(4), a visiting judge may be assigned under this section if the judge has served as an active judge for at least 48 months in a statutory probate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26, Government Code, is amended by adding Section 26.020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"former constitutional county judge"</w:t>
      </w:r>
      <w:r>
        <w:rPr>
          <w:u w:val="single"/>
        </w:rPr>
        <w:t xml:space="preserve"> </w:t>
      </w:r>
      <w:r>
        <w:rPr>
          <w:u w:val="single"/>
        </w:rPr>
        <w:t xml:space="preserve">means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as a judge for at least 96 months in a constitutional county court;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as a judge for at least 48 months in a constitutional county court and who is a licensed attorney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26.023(a),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judge may appoint a retired judge</w:t>
      </w:r>
      <w:r>
        <w:rPr>
          <w:u w:val="single"/>
        </w:rPr>
        <w:t xml:space="preserve">, former constitutional county judge,</w:t>
      </w:r>
      <w:r>
        <w:t xml:space="preserve"> or a constitutional county judge from another county as a visiting judge when the county judge is absent from the county or absent because of physical incapacity.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26.024(a),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judge may appoint a retired judge</w:t>
      </w:r>
      <w:r>
        <w:rPr>
          <w:u w:val="single"/>
        </w:rPr>
        <w:t xml:space="preserve">, former constitutional county judge,</w:t>
      </w:r>
      <w:r>
        <w:t xml:space="preserve"> or a constitutional county judge from another county as a visiting judge to share the bench if the county judge finds that the dockets of the county court reflect a case load that the county judge considers to be in excess of that which can be disposed of properly in a manner consistent with the efficient administration of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25.0022(t-1),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103 was passed by the House on May 4, 2023, by the following vote:</w:t>
      </w:r>
      <w:r xml:space="preserve">
        <w:t> </w:t>
      </w:r>
      <w:r xml:space="preserve">
        <w:t> </w:t>
      </w:r>
      <w:r>
        <w:t xml:space="preserve">Yeas 143,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103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