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Spiller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Sparks)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2023;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appointment of a retired or former judge as a visiting judge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26.012,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26.012.</w:t>
      </w:r>
      <w:r xml:space="preserve">
        <w:t> </w:t>
      </w:r>
      <w:r xml:space="preserve">
        <w:t> </w:t>
      </w:r>
      <w:r>
        <w:t xml:space="preserve">ASSIGNMENT OF VISITING JUDGE FOR PROBATE, GUARDIANSHIP, AND MENTAL HEALTH MATTERS.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If the county judge is absent, incapacitated, recused, or disqualified to act in a probate, guardianship, or mental health matter, a visiting judge shall be assigned in accordance with Section 25.0022(h).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25.0022(t)(4), a visiting judge may be assigned under this section if the judge has served as an active judge for at least 48 months in a statutory probate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Government Code, is amended by adding Section 26.020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"former constitutional county judge"</w:t>
      </w:r>
      <w:r>
        <w:rPr>
          <w:u w:val="single"/>
        </w:rPr>
        <w:t xml:space="preserve"> </w:t>
      </w:r>
      <w:r>
        <w:rPr>
          <w:u w:val="single"/>
        </w:rPr>
        <w:t xml:space="preserve">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96 months in a constitutional county court;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48 months in a constitutional county court and who is a licensed attorney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26.023(a),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when the county judge is absent from the county or absent because of physical incapacity.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to share the bench if the county judge finds that the dockets of the county court reflect a case load that the county judge considers to be in excess of that which can be disposed of properly in a manner consistent with the efficient administration of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25.0022(t-1),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