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e-cigarettes on public school property or at certain school events;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administrator, school resource officer, or school district peace officer observes the use or possession of an e-cigarette by a student on school property or at a school-related or school-sanctioned activity on or off school property, the administrator or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confiscate and dispose of the e-cigarette;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appropriate local law enforcement agency of the student's conduct constituting an offense under Section 38.0065 of this code, Section 161.252, Health and Safety Code, or Section 48.01,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38, Education Code, is amended by adding Section 38.0065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38.0065.</w:t>
      </w:r>
      <w:r>
        <w:rPr>
          <w:u w:val="single"/>
        </w:rPr>
        <w:t xml:space="preserve"> </w:t>
      </w:r>
      <w:r>
        <w:rPr>
          <w:u w:val="single"/>
        </w:rPr>
        <w:t xml:space="preserve"> </w:t>
      </w:r>
      <w:r>
        <w:rPr>
          <w:u w:val="single"/>
        </w:rPr>
        <w:t xml:space="preserve">POSSESSION OF FIVE OR MORE E-CIGARETTES ON SCHOOL PROPERTY; CRIMINAL OFFENSE.  (a)  In this section, "e-cigarette" has the meaning assigned by Section 161.081,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possesses five or more e-cigarettes on school property or at a school-related or school-sanctioned activity on or off school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