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limitation on the total amount of ad valorem taxes that a school district may impose on certain residence homesteads following a substantial school tax increase.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11.262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11.262.</w:t>
      </w:r>
      <w:r>
        <w:rPr>
          <w:u w:val="single"/>
        </w:rPr>
        <w:t xml:space="preserve"> </w:t>
      </w:r>
      <w:r>
        <w:rPr>
          <w:u w:val="single"/>
        </w:rPr>
        <w:t xml:space="preserve"> </w:t>
      </w:r>
      <w:r>
        <w:rPr>
          <w:u w:val="single"/>
        </w:rPr>
        <w:t xml:space="preserve">LIMITATION OF SCHOOL TAXES ON CERTAIN HOMESTEADS FOLLOWING SUBSTANTIAL TAX INCREASE.  </w:t>
      </w:r>
      <w:r>
        <w:rPr>
          <w:u w:val="single"/>
        </w:rPr>
        <w:t xml:space="preserve">(a)  In this section, "residence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appraiser shall appraise, and the tax assessor for each school district shall calculate the taxes on, each residence homestead in the manner provided by law for other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(g), if an individual qualifies property as the individual's residence homestead for at least 15 consecutive tax years and the total amount of school district taxes imposed on the property in that 15th tax year is at least 120 percent greater than the total amount of those taxes imposed in the first of those tax years, not including taxes imposed on the appraised value of all improvements made to the property during that period, a school district may not impose taxes on that residence homestead in a subsequent tax year in an amount that exceeds the least of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school taxes calculated for the current tax year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school taxes imposed for that 15th tax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school taxes as limited under Section 11.26, if applicable.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individual may not receive a limitation on taxes under Subsection (c) based on an increase in taxes for any period that began before the 2008 tax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individual who qualifies for a limitation under this section dies, the surviving spouse of the individual is entitled to continue receiving the limitation on school taxes imposed by a school district on the residence homestead of the individual if the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residence homestead of the surviving spouse on the date that the individual dies;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the residence homestead of the surviving spouse.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(d) or (f), a limitation under this section expires on January 1 if the property is not the residence homestead of the individual entitled to the limitation for the preceding tax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limitation under this section does not expire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owner of an interest in the residence homestead conveys the interest to a qualifying trust as defined by Section 11.13(j) and the owner or the owner's spouse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trustor of the trust;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entitled to occupy the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the structure qualifies for an exemption under Section 11.13 under the circumstances described by Section 11.135(a).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a school district may increase the tax on a residence homestead subject to a limitation under this section in the first year the appraised value of the property is increased as the result of an improvement made to the property in the preceding tax year.  The amount of the tax increase is determined by applying the current tax rate of the school district to the difference in the taxable value of the property with the improvement and the taxable value the property would have had without the improvement.  A limitation imposed by this section then applies to the increased amount of tax until another improvement is made to the property.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improvement to a residence homestead is not treated as an improvement under Subsection (g) if the improvement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repair;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to be made to comply with a governmental requirement;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 (i), a replacement structure for a structure that was rendered uninhabitable or unusable by a casualty or by wind or water damage.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replacement structure described by Subsection (h)(3) is considered to be an improvement under Subsection (g)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exceeds the square footage of the replaced structure as the replaced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appraisal roll provides for taxation of appraised value for a prior year because a limitation under this section was erroneously allowed, the tax assessor for the school district shall add as back taxes due, as provided by Section 26.09(d), the positive difference, if any, between the tax that should have been imposed for that tax year and the tax that was imposed because of the provisions of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For each school district in an appraisal district, the chief appraiser shall determine the portion of the appraised value of residence homesteads of individuals on which school district taxes are not imposed in a tax year because of the limitation under this section.  That portion is calculated by determining the taxable value that, if multiplied by the tax rate adopted by the school district for the tax year, would produce an amount equal to the amount of tax that would have been imposed by the school district on those properties if the limitation under this section were not in effect, but that was not imposed because of that limitation.  The chief appraiser shall determine that taxable value and certify it to the comptroller as soon as practicable for each tax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If an appraisal district receives a written request for the appraisal of real property and improvements of a cooperative housing corporation according to the separate interests of the corporation's stockholders, the chief appraiser shall separately appraise the interests described by Subsection (d) if the conditions required by Subsections (e) and (f) have been met. Separate appraisal under this section is for the purposes of administration of tax exemptions, determination of applicable limitations of taxes under Section 11.26</w:t>
      </w:r>
      <w:r>
        <w:rPr>
          <w:u w:val="single"/>
        </w:rPr>
        <w:t xml:space="preserve">,</w:t>
      </w:r>
      <w:r>
        <w:t xml:space="preserve"> [</w:t>
      </w:r>
      <w:r>
        <w:rPr>
          <w:strike/>
        </w:rPr>
        <w:t xml:space="preserve">or</w:t>
      </w:r>
      <w:r>
        <w:t xml:space="preserve">] 11.261, </w:t>
      </w:r>
      <w:r>
        <w:rPr>
          <w:u w:val="single"/>
        </w:rPr>
        <w:t xml:space="preserve">or 11.262,</w:t>
      </w:r>
      <w:r>
        <w:t xml:space="preserve"> and apportionment by a cooperative housing corporation of property taxes among its stockholders but is not the basis for determining value on which a tax is imposed under this title.  A stockholder whose interest is separately appraised under this section may protest and appeal the appraised value in the manner provided by this title for protest and appeal of the appraised value of other property.</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  Each exemption claimed as provided by this title by a person entitled to the exemption shall also be deducted from the total appraised value of the property of the corporation.  The total tax imposed by a school district, county, municipality, or junior college district shall be reduced by any amount that represents an increase in taxes attributable to separately appraised interests of the real property and improvements that are subject to the limitation of taxes prescribed by Section 11.26</w:t>
      </w:r>
      <w:r>
        <w:rPr>
          <w:u w:val="single"/>
        </w:rPr>
        <w:t xml:space="preserve">,</w:t>
      </w:r>
      <w:r>
        <w:t xml:space="preserve"> [</w:t>
      </w:r>
      <w:r>
        <w:rPr>
          <w:strike/>
        </w:rPr>
        <w:t xml:space="preserve">or</w:t>
      </w:r>
      <w:r>
        <w:t xml:space="preserve">] 11.261</w:t>
      </w:r>
      <w:r>
        <w:rPr>
          <w:u w:val="single"/>
        </w:rPr>
        <w:t xml:space="preserve">, or 11.262</w:t>
      </w:r>
      <w:r>
        <w:t xml:space="preserve">.  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w:t>
      </w:r>
      <w:r>
        <w:rPr>
          <w:u w:val="single"/>
        </w:rPr>
        <w:t xml:space="preserve">Sections</w:t>
      </w:r>
      <w:r>
        <w:t xml:space="preserve"> [</w:t>
      </w:r>
      <w:r>
        <w:rPr>
          <w:strike/>
        </w:rPr>
        <w:t xml:space="preserve">Section</w:t>
      </w:r>
      <w:r>
        <w:t xml:space="preserve">] 11.26 </w:t>
      </w:r>
      <w:r>
        <w:rPr>
          <w:u w:val="single"/>
        </w:rPr>
        <w:t xml:space="preserve">and 11.262</w:t>
      </w:r>
      <w:r>
        <w:t xml:space="preserve">;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and</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provided by Section 11.261.</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 last year's taxable value for a school district excludes the total value of homesteads that qualified for a tax limitation as provided by </w:t>
      </w:r>
      <w:r>
        <w:rPr>
          <w:u w:val="single"/>
        </w:rPr>
        <w:t xml:space="preserve">Sections</w:t>
      </w:r>
      <w:r>
        <w:t xml:space="preserve"> [</w:t>
      </w:r>
      <w:r>
        <w:rPr>
          <w:strike/>
        </w:rPr>
        <w:t xml:space="preserve">Section</w:t>
      </w:r>
      <w:r>
        <w:t xml:space="preserve">] 11.26 </w:t>
      </w:r>
      <w:r>
        <w:rPr>
          <w:u w:val="single"/>
        </w:rPr>
        <w:t xml:space="preserve">and 11.262</w:t>
      </w:r>
      <w:r>
        <w:t xml:space="preserve"> and last year's taxable value for a county, municipality, or junior college district excludes the total value of homesteads that qualified for a tax limitation as provided by Section 11.261;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w:t>
      </w:r>
      <w:r>
        <w:rPr>
          <w:u w:val="single"/>
        </w:rPr>
        <w:t xml:space="preserve">Sections</w:t>
      </w:r>
      <w:r>
        <w:t xml:space="preserve"> [</w:t>
      </w:r>
      <w:r>
        <w:rPr>
          <w:strike/>
        </w:rPr>
        <w:t xml:space="preserve">Section</w:t>
      </w:r>
      <w:r>
        <w:t xml:space="preserve">] 11.26 </w:t>
      </w:r>
      <w:r>
        <w:rPr>
          <w:u w:val="single"/>
        </w:rPr>
        <w:t xml:space="preserve">and 11.262</w:t>
      </w:r>
      <w:r>
        <w:t xml:space="preserve">; and</w:t>
      </w:r>
    </w:p>
    <w:p w:rsidR="003F3435" w:rsidRDefault="0032493E">
      <w:pPr>
        <w:spacing w:line="480" w:lineRule="auto"/>
        <w:ind w:firstLine="2160"/>
        <w:jc w:val="both"/>
      </w:pPr>
      <w:r>
        <w:t xml:space="preserve">(B)</w:t>
      </w:r>
      <w:r xml:space="preserve">
        <w:t> </w:t>
      </w:r>
      <w:r xml:space="preserve">
        <w:t> </w:t>
      </w:r>
      <w:r>
        <w:t xml:space="preserve">last year's taxable value for a county, municipality, or junior college district excludes the total value of homesteads that qualified for a tax limitation as provided by Section 11.261.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w:t>
      </w:r>
      <w:r>
        <w:t xml:space="preserve"> </w:t>
      </w:r>
      <w:r>
        <w:t xml:space="preserve">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contain the following statement in bold print: "Under state law, the dollar amount of school taxes imposed on a residence homestead that qualifies as the owner's residence homestead for at least 15 consecutive years, during which time the total amount of school district taxes imposed on the property has increased by at least 120 percent, may not be increased above the amount of school taxes imposed on the property in that 15th consecutive year, regardless of changes in tax rate or property value."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w:t>
      </w:r>
      <w:r>
        <w:rPr>
          <w:u w:val="single"/>
        </w:rPr>
        <w:t xml:space="preserve">or 11.262</w:t>
      </w:r>
      <w:r>
        <w:t xml:space="preserve">,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limitation on school taxes provided by Section 11.262, Tax Code, as added by 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the constitutional amendment proposed by the 88th Legislature, Regular Session, 2023, authorizing the legislature to limit the total amount of ad valorem taxes that a school district may impose on the residence homestead of an individual and the surviving spouse of the individual if the individual qualifies the property as the individual's residence homestead for 15 consecutive tax years and the school taxes on the property increase by at least 120 percent during that period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