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88R1684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a municipality or county of certain employment benefits and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PROHIBITION AGAINST LOCAL REGULATION OF EMPLOYMENT BENEFITS AND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an employer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benefit" means anything of value that an employee receives from an employer beyond regular salary or wages.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PROHIBITION AGAINST MUNICIPALITY OR COUNTY REQUIRING CERTAIN EMPLOYMENT BENEFITS OR POLICIES.  (a) </w:t>
      </w:r>
      <w:r>
        <w:rPr>
          <w:u w:val="single"/>
        </w:rPr>
        <w:t xml:space="preserve"> </w:t>
      </w:r>
      <w:r>
        <w:rPr>
          <w:u w:val="single"/>
        </w:rPr>
        <w:t xml:space="preserve">A municipality or county may not adopt or enforce an ordinance, order, rule, regulation, or policy requiring any terms of employment that exceed or conflict with federal or state law relating to any form of employment leave, hiring practices, employment benefits, scheduling practices, or other terms of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provision of an ordinance, order, rule, regulation, or policy that violates Subsection (a) is void and unenforceable.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Minimum Wage Act under Chapter 62;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or agreement relating to terms of employment voluntarily entered into between a private employer or entity and a governmental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83, Labor Code, as added by this Act, applies to an ordinance, order, rule, regulation, or policy adopted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