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school district and open-enrollment charter school employees from jury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over 70 years of age;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 classroom teacher, paraprofessional, or librarian employed by a school district or an open-enrollment charter school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establishment of an exemption from jury services for a person summoned to appear for jury services on a date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