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88R23963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 Bonnen, et al.</w:t>
      </w:r>
      <w:r xml:space="preserve">
        <w:tab wTab="150" tlc="none" cTlc="0"/>
      </w:r>
      <w:r>
        <w:t xml:space="preserve">H.B.</w:t>
      </w:r>
      <w:r xml:space="preserve">
        <w:t> </w:t>
      </w:r>
      <w:r>
        <w:t xml:space="preserve">No.</w:t>
      </w:r>
      <w:r xml:space="preserve">
        <w:t> </w:t>
      </w:r>
      <w:r>
        <w:t xml:space="preserve">134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134:</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and child health plan program coverage and reimbursement for childhood cranial remolding orthosis.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62, Health and Safety Code, is amended by adding Section 62.1512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62.1512.</w:t>
      </w:r>
      <w:r>
        <w:rPr>
          <w:u w:val="single"/>
        </w:rPr>
        <w:t xml:space="preserve"> </w:t>
      </w:r>
      <w:r>
        <w:rPr>
          <w:u w:val="single"/>
        </w:rPr>
        <w:t xml:space="preserve"> </w:t>
      </w:r>
      <w:r>
        <w:rPr>
          <w:u w:val="single"/>
        </w:rPr>
        <w:t xml:space="preserve">COVERAGE FOR CHILDHOOD CRANIAL REMOLDING ORTHOSIS.  (a)  In this section, "cranial remolding orthosis" has the meaning assigned by Section 32.03126,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child health plan must cover in full the cost of a cranial remolding orthosis for an enrollee in the same manner that Medicaid coverage is provided for that treatment under Section 32.03126,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32.03126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32.03126.</w:t>
      </w:r>
      <w:r>
        <w:rPr>
          <w:u w:val="single"/>
        </w:rPr>
        <w:t xml:space="preserve"> </w:t>
      </w:r>
      <w:r>
        <w:rPr>
          <w:u w:val="single"/>
        </w:rPr>
        <w:t xml:space="preserve"> </w:t>
      </w:r>
      <w:r>
        <w:rPr>
          <w:u w:val="single"/>
        </w:rPr>
        <w:t xml:space="preserve">REIMBURSEMENT FOR CHILDHOOD CRANIAL REMOLDING ORTHOSIS. </w:t>
      </w:r>
      <w:r>
        <w:rPr>
          <w:u w:val="single"/>
        </w:rPr>
        <w:t xml:space="preserve"> </w:t>
      </w:r>
      <w:r>
        <w:rPr>
          <w:u w:val="single"/>
        </w:rPr>
        <w:t xml:space="preserve">(a) </w:t>
      </w:r>
      <w:r>
        <w:rPr>
          <w:u w:val="single"/>
        </w:rPr>
        <w:t xml:space="preserve"> </w:t>
      </w:r>
      <w:r>
        <w:rPr>
          <w:u w:val="single"/>
        </w:rPr>
        <w:t xml:space="preserve">In this section, "cranial remolding orthosis" means a custom-fitted or custom-fabricated medical device that is applied to the head to correct a deformity, improve function, or relieve symptoms of a structural cranial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medical assistance reimbursement is provided to cover in full the cost of a cranial remolding orthosis for a child who is a medical assistance recipient and has been diagnosed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craniosynostosis;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plagiocephaly or brachycephaly if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less than three months of age and not more than 18 months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had documented failure to respond to conservative therapy for at least two months;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one of the following sets of measurements or indications: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asymmetrical appearance confirmed by a right/left discrepancy of greater than six millimeters in a craniofacial anthropometric measurement;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brachycephalic or dolichocephalic disproportion in the comparison of head length to head width confirmed by a cephalic index of two standard deviations above or below mean.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coverage required under this section may not be less favorable than the coverage required for other orthotics under the medical assistance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