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88R367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134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coverage for childhood cranial remolding orthosis under certain health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1367, Insurance Code, is amended by adding Subchapter G to read as follows:</w:t>
      </w:r>
    </w:p>
    <w:p w:rsidR="003F3435" w:rsidRDefault="0032493E">
      <w:pPr>
        <w:spacing w:line="480" w:lineRule="auto"/>
        <w:jc w:val="center"/>
      </w:pPr>
      <w:r>
        <w:rPr>
          <w:u w:val="single"/>
        </w:rPr>
        <w:t xml:space="preserve">SUBCHAPTER G. </w:t>
      </w:r>
      <w:r>
        <w:rPr>
          <w:u w:val="single"/>
        </w:rPr>
        <w:t xml:space="preserve"> </w:t>
      </w:r>
      <w:r>
        <w:rPr>
          <w:u w:val="single"/>
        </w:rPr>
        <w:t xml:space="preserve">CHILDHOOD CRANIAL REMOLDING ORTHOSIS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1367.301.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"cranial remolding orthosis" means a custom-fitted or custom-fabricated medical device that is applied to the head to correct a deformity, improve function, or relieve symptoms of a structural cranial disease.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1367.302.</w:t>
      </w:r>
      <w:r>
        <w:rPr>
          <w:u w:val="single"/>
        </w:rPr>
        <w:t xml:space="preserve"> </w:t>
      </w:r>
      <w:r>
        <w:rPr>
          <w:u w:val="single"/>
        </w:rPr>
        <w:t xml:space="preserve"> </w:t>
      </w:r>
      <w:r>
        <w:rPr>
          <w:u w:val="single"/>
        </w:rPr>
        <w:t xml:space="preserve">APPLICABILITY OF SUBCHAPTER.  (a)  This 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insurance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group hospital service corporation operating under Chapter 842;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health maintenance organization operating under Chapter 843;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stipulated premium company operating under Chapter 884;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fraternal benefit society operating under Chapter 885;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applies to coverage under a group health benefit plan described by Subsection (a) provided to a resident of this state, regardless of whether the group policy or contract is delivered, issued for delivery, or renewed within or outside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subchapter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health benefits provided by or through a church benefits board under Subchapter I, Chapter 22, Business Organizations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regional or local health care program operated under Section 75.104, Health and Safety Code;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self-funded health benefit plan sponsored by a professional employer organization under Chapter 91, Labor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subchapter does not apply to a qualified health plan defined by 45 C.F.R. Section 155.20 if a determination is made under 45 C.F.R. Section 155.170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subchapter requires the plan to offer benefits in addition to the essential health benefits required under 42 U.S.C. Section 18022(b);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this state must make payments to defray the cost of the additional benefits mandated by this subchapter.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subchapter does not apply to an individual health benefit plan issued on or before March 23, 2010, that has not had any significant changes since that date that reduce benefits or increase costs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1367.303.</w:t>
      </w:r>
      <w:r>
        <w:rPr>
          <w:u w:val="single"/>
        </w:rPr>
        <w:t xml:space="preserve"> </w:t>
      </w:r>
      <w:r>
        <w:rPr>
          <w:u w:val="single"/>
        </w:rPr>
        <w:t xml:space="preserve"> </w:t>
      </w:r>
      <w:r>
        <w:rPr>
          <w:u w:val="single"/>
        </w:rPr>
        <w:t xml:space="preserve">COVERAGE REQUIRED.  (a)  A health benefit plan is required to cover in full the cost of a cranial remolding orthosis for a child diagnosed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craniostenosis;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plagiocephaly or brachycephaly if the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less than three months of age and not more than 18 months of age;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had documented failure to respond to conservative therapy for at least two months;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one of the following sets of measurements or indications: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asymmetrical appearance confirmed by a right/left discrepancy of greater than six millimeters in a craniofacial anthropometric measurement;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brachycephalic or dolichocephalic disproportion in the comparison of head length to head width confirmed by a cephalic index of two standard deviations above or below mean.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Coverage required by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be less favorable than coverage for other orthotics under the health benefit plan;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be subject to the same dollar limits, deductibles, and coinsurance as coverage for other orthotics under the health benefit plan.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health benefit plan that is delivered, issued for delivery, or renewed on or after January 1, 2024.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