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average enrollment for purposes of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w:t>
      </w:r>
      <w:r>
        <w:t xml:space="preserve"> </w:t>
      </w:r>
      <w:r>
        <w:t xml:space="preserve">(a) </w:t>
      </w:r>
      <w:r>
        <w:t xml:space="preserve"> </w:t>
      </w:r>
      <w:r>
        <w:t xml:space="preserve">In this chapter, average </w:t>
      </w:r>
      <w:r>
        <w:rPr>
          <w:u w:val="single"/>
        </w:rPr>
        <w:t xml:space="preserve">enrollment</w:t>
      </w:r>
      <w:r>
        <w:t xml:space="preserve"> [</w:t>
      </w:r>
      <w:r>
        <w:rPr>
          <w:strike/>
        </w:rPr>
        <w:t xml:space="preserve">daily attendance</w:t>
      </w:r>
      <w:r>
        <w:t xml:space="preserve">] is: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a district that operates a half-day program or a full-day program under Section 29.153(c), one-half of the average </w:t>
      </w:r>
      <w:r>
        <w:rPr>
          <w:u w:val="single"/>
        </w:rPr>
        <w:t xml:space="preserve">enrollment</w:t>
      </w:r>
      <w:r>
        <w:t xml:space="preserve"> [</w:t>
      </w:r>
      <w:r>
        <w:rPr>
          <w:strike/>
        </w:rPr>
        <w:t xml:space="preserve">daily attendance</w:t>
      </w:r>
      <w:r>
        <w:t xml:space="preserv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w:t>
      </w:r>
      <w:r>
        <w:rPr>
          <w:u w:val="single"/>
        </w:rPr>
        <w:t xml:space="preserve">enrollment</w:t>
      </w:r>
      <w:r>
        <w:t xml:space="preserve"> [</w:t>
      </w:r>
      <w:r>
        <w:rPr>
          <w:strike/>
        </w:rPr>
        <w:t xml:space="preserve">daily attendance</w:t>
      </w:r>
      <w:r>
        <w:t xml:space="preserv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Section 29.259.</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Acts of the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t xml:space="preserve"> </w:t>
      </w:r>
      <w:r>
        <w:t xml:space="preserve">[</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students </w:t>
      </w:r>
      <w:r>
        <w:rPr>
          <w:u w:val="single"/>
        </w:rPr>
        <w:t xml:space="preserve">enrolled</w:t>
      </w:r>
      <w:r>
        <w:t xml:space="preserve"> in [</w:t>
      </w:r>
      <w:r>
        <w:rPr>
          <w:strike/>
        </w:rPr>
        <w:t xml:space="preserve">attendance in</w:t>
      </w:r>
      <w:r>
        <w:t xml:space="preserve">] a program under Subsection (e) in the computation of the district's average </w:t>
      </w:r>
      <w:r>
        <w:rPr>
          <w:u w:val="single"/>
        </w:rPr>
        <w:t xml:space="preserve">enrollment</w:t>
      </w:r>
      <w:r>
        <w:t xml:space="preserve"> [</w:t>
      </w:r>
      <w:r>
        <w:rPr>
          <w:strike/>
        </w:rPr>
        <w:t xml:space="preserve">daily attendance</w:t>
      </w:r>
      <w:r>
        <w:t xml:space="preserve">] for funding purposes.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29.124(b),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 determines that a school district has failed to comply with Subsection (a) for a school year, the commissioner shall reduce the total amount of funding to which the district is entitled under Chapter 48 for that school year by an amount equal to the basic allotment multiplied by the product of:</w:t>
      </w:r>
    </w:p>
    <w:p w:rsidR="003F3435" w:rsidRDefault="0032493E">
      <w:pPr>
        <w:spacing w:line="480" w:lineRule="auto"/>
        <w:ind w:firstLine="1440"/>
        <w:jc w:val="both"/>
      </w:pPr>
      <w:r>
        <w:t xml:space="preserve">(1)</w:t>
      </w:r>
      <w:r xml:space="preserve">
        <w:t> </w:t>
      </w:r>
      <w:r xml:space="preserve">
        <w:t> </w:t>
      </w:r>
      <w:r>
        <w:t xml:space="preserve">0.12; and</w:t>
      </w:r>
    </w:p>
    <w:p w:rsidR="003F3435" w:rsidRDefault="0032493E">
      <w:pPr>
        <w:spacing w:line="480" w:lineRule="auto"/>
        <w:ind w:firstLine="1440"/>
        <w:jc w:val="both"/>
      </w:pPr>
      <w:r>
        <w:t xml:space="preserve">(2)</w:t>
      </w:r>
      <w:r xml:space="preserve">
        <w:t> </w:t>
      </w:r>
      <w:r xml:space="preserve">
        <w:t> </w:t>
      </w:r>
      <w:r>
        <w:t xml:space="preserve">an amount equal to five percent of the students in average </w:t>
      </w:r>
      <w:r>
        <w:rPr>
          <w:u w:val="single"/>
        </w:rPr>
        <w:t xml:space="preserve">enrollment</w:t>
      </w:r>
      <w:r>
        <w:t xml:space="preserve"> [</w:t>
      </w:r>
      <w:r>
        <w:rPr>
          <w:strike/>
        </w:rPr>
        <w:t xml:space="preserve">daily attendance</w:t>
      </w:r>
      <w:r>
        <w:t xml:space="preserve">] in the district.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29.259(j), Education Code, is amended to read as follows:</w:t>
      </w:r>
    </w:p>
    <w:p w:rsidR="003F3435" w:rsidRDefault="0032493E">
      <w:pPr>
        <w:spacing w:line="480" w:lineRule="auto"/>
        <w:ind w:firstLine="720"/>
        <w:jc w:val="both"/>
      </w:pPr>
      <w:r>
        <w:t xml:space="preserve">(j)</w:t>
      </w:r>
      <w:r xml:space="preserve">
        <w:t> </w:t>
      </w:r>
      <w:r xml:space="preserve">
        <w:t> </w:t>
      </w:r>
      <w:r>
        <w:t xml:space="preserve">Funding for an adult education program under this section is provided based on the following:</w:t>
      </w:r>
    </w:p>
    <w:p w:rsidR="003F3435" w:rsidRDefault="0032493E">
      <w:pPr>
        <w:spacing w:line="480" w:lineRule="auto"/>
        <w:ind w:firstLine="1440"/>
        <w:jc w:val="both"/>
      </w:pPr>
      <w:r>
        <w:t xml:space="preserve">(1)</w:t>
      </w:r>
      <w:r xml:space="preserve">
        <w:t> </w:t>
      </w:r>
      <w:r xml:space="preserve">
        <w:t> </w:t>
      </w:r>
      <w:r>
        <w:t xml:space="preserve">for participants who are 26 years of age and older, an amount per participant from available general revenue funds appropriated for the program equal to the statewide average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to an open-enrollment charter school under Section 12.106 were the student under 26 years of age; and</w:t>
      </w:r>
    </w:p>
    <w:p w:rsidR="003F3435" w:rsidRDefault="0032493E">
      <w:pPr>
        <w:spacing w:line="480" w:lineRule="auto"/>
        <w:ind w:firstLine="1440"/>
        <w:jc w:val="both"/>
      </w:pPr>
      <w:r>
        <w:t xml:space="preserve">(2)</w:t>
      </w:r>
      <w:r xml:space="preserve">
        <w:t> </w:t>
      </w:r>
      <w:r xml:space="preserve">
        <w:t> </w:t>
      </w:r>
      <w:r>
        <w:t xml:space="preserve">for participants who are at least 18 years of age and under 26 years of age,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w:t>
      </w:r>
      <w:r>
        <w:rPr>
          <w:u w:val="single"/>
        </w:rPr>
        <w:t xml:space="preserve">enrollment in</w:t>
      </w:r>
      <w:r>
        <w:t xml:space="preserve"> [</w:t>
      </w:r>
      <w:r>
        <w:rPr>
          <w:strike/>
        </w:rPr>
        <w:t xml:space="preserve">attendance at</w:t>
      </w:r>
      <w:r>
        <w:t xml:space="preserve">] an open-enrollment charter school in accordance with Section 12.106.</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hours of contact with the student;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student's successful completion of a course;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method approved by the 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42.168(a), Education Code, as added by Chapter 464 (S.B. 11),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shall provide to a school district an annual allotment in the amount provided by appropriation for each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ind w:firstLine="720"/>
        <w:jc w:val="both"/>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 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(a-1), the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w:t>
      </w:r>
      <w:r>
        <w:rPr>
          <w:strike/>
        </w:rPr>
        <w:t xml:space="preserve"> </w:t>
      </w:r>
      <w:r>
        <w:rPr>
          <w:strike/>
        </w:rPr>
        <w:t xml:space="preserve">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t xml:space="preserve">[</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48.051(a)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w:t>
      </w:r>
      <w:r>
        <w:rPr>
          <w:u w:val="single"/>
        </w:rPr>
        <w:t xml:space="preserve">enrollment</w:t>
      </w:r>
      <w:r>
        <w:t xml:space="preserve"> [</w:t>
      </w:r>
      <w:r>
        <w:rPr>
          <w:strike/>
        </w:rPr>
        <w:t xml:space="preserve">daily attendance</w:t>
      </w:r>
      <w:r>
        <w:t xml:space="preserve">] of the district multiplied by the amount of the difference between the district's funding under this chapter per student in average </w:t>
      </w:r>
      <w:r>
        <w:rPr>
          <w:u w:val="single"/>
        </w:rPr>
        <w:t xml:space="preserve">enrollment</w:t>
      </w:r>
      <w:r>
        <w:t xml:space="preserve"> [</w:t>
      </w:r>
      <w:r>
        <w:rPr>
          <w:strike/>
        </w:rPr>
        <w:t xml:space="preserve">daily attendance</w:t>
      </w:r>
      <w:r>
        <w:t xml:space="preserv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enrollment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w:t>
      </w:r>
      <w:r>
        <w:t xml:space="preserve"> </w:t>
      </w:r>
      <w:r>
        <w:t xml:space="preserve">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tabs>
          <w:tab w:val="right" w:leader="dot" w:pos="9350"/>
        </w:tabs>
      </w:pPr>
      <w:r>
        <w:t xml:space="preserve">Homebound</w:t>
      </w:r>
      <w:r xml:space="preserve">
        <w:tab wTab="150" tlc="dot" cTlc="0"/>
      </w:r>
      <w:r>
        <w:t xml:space="preserve">5.0</w:t>
      </w:r>
    </w:p>
    <w:p w:rsidR="003F3435" w:rsidRDefault="0032493E">
      <w:pPr>
        <w:spacing w:line="480" w:lineRule="auto"/>
        <w:ind w:firstLine="144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144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144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1440"/>
        <w:jc w:val="both"/>
      </w:pPr>
      <w:r>
        <w:t xml:space="preserve">Self-contained, mild and moderate,</w:t>
      </w:r>
    </w:p>
    <w:p w:rsidR="003F3435" w:rsidRDefault="0032493E">
      <w:pPr>
        <w:spacing w:line="480" w:lineRule="auto"/>
        <w:ind w:firstLine="216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144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144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144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144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 student of limited English proficiency,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48.106(a),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w:t>
      </w:r>
    </w:p>
    <w:p w:rsidR="003F3435" w:rsidRDefault="0032493E">
      <w:pPr>
        <w:spacing w:line="480" w:lineRule="auto"/>
        <w:ind w:firstLine="1440"/>
        <w:jc w:val="both"/>
      </w:pPr>
      <w:r>
        <w:t xml:space="preserve">(1)</w:t>
      </w:r>
      <w:r xml:space="preserve">
        <w:t> </w:t>
      </w:r>
      <w:r xml:space="preserve">
        <w:t> </w:t>
      </w:r>
      <w:r>
        <w:t xml:space="preserve">an annual allotment equal to the basic allotment multiplied by a weight of 1.35; and</w:t>
      </w:r>
    </w:p>
    <w:p w:rsidR="003F3435" w:rsidRDefault="0032493E">
      <w:pPr>
        <w:spacing w:line="480" w:lineRule="auto"/>
        <w:ind w:firstLine="1440"/>
        <w:jc w:val="both"/>
      </w:pPr>
      <w:r>
        <w:t xml:space="preserve">(2)</w:t>
      </w:r>
      <w:r xml:space="preserve">
        <w:t> </w:t>
      </w:r>
      <w:r xml:space="preserve">
        <w:t> </w:t>
      </w:r>
      <w:r>
        <w:t xml:space="preserve">$50 for each of the following in which the student is enrolled:</w:t>
      </w:r>
    </w:p>
    <w:p w:rsidR="003F3435" w:rsidRDefault="0032493E">
      <w:pPr>
        <w:spacing w:line="480" w:lineRule="auto"/>
        <w:ind w:firstLine="2160"/>
        <w:jc w:val="both"/>
      </w:pPr>
      <w:r>
        <w:t xml:space="preserve">(A)</w:t>
      </w:r>
      <w:r xml:space="preserve">
        <w:t> </w:t>
      </w:r>
      <w:r xml:space="preserve">
        <w:t> </w:t>
      </w:r>
      <w:r>
        <w:t xml:space="preserve">two or more advanced career and technology education classes for a total of three or more credits;</w:t>
      </w:r>
    </w:p>
    <w:p w:rsidR="003F3435" w:rsidRDefault="0032493E">
      <w:pPr>
        <w:spacing w:line="480" w:lineRule="auto"/>
        <w:ind w:firstLine="2160"/>
        <w:jc w:val="both"/>
      </w:pPr>
      <w:r>
        <w:t xml:space="preserve">(B)</w:t>
      </w:r>
      <w:r xml:space="preserve">
        <w:t> </w:t>
      </w:r>
      <w:r xml:space="preserve">
        <w:t> </w:t>
      </w:r>
      <w:r>
        <w:t xml:space="preserve">a campus designated as a P-TECH school under Section 29.556; or</w:t>
      </w:r>
    </w:p>
    <w:p w:rsidR="003F3435" w:rsidRDefault="0032493E">
      <w:pPr>
        <w:spacing w:line="480" w:lineRule="auto"/>
        <w:ind w:firstLine="2160"/>
        <w:jc w:val="both"/>
      </w:pPr>
      <w:r>
        <w:t xml:space="preserve">(C)</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 student of limited English proficiency,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48.111, Education Code, is amended to read as follows:</w:t>
      </w:r>
    </w:p>
    <w:p w:rsidR="003F3435" w:rsidRDefault="0032493E">
      <w:pPr>
        <w:spacing w:line="480" w:lineRule="auto"/>
        <w:ind w:firstLine="720"/>
        <w:jc w:val="both"/>
      </w:pPr>
      <w:r>
        <w:t xml:space="preserve">Sec.</w:t>
      </w:r>
      <w:r xml:space="preserve">
        <w:t> </w:t>
      </w:r>
      <w:r>
        <w:t xml:space="preserve">48.111.</w:t>
      </w:r>
      <w:r xml:space="preserve">
        <w:t> </w:t>
      </w:r>
      <w:r xml:space="preserve">
        <w:t> </w:t>
      </w:r>
      <w:r>
        <w:t xml:space="preserve">FAST GROWTH ALLOTMENT.  A school district in which the growth in student enrollment in the district over the preceding three school years is in the top quartile of student enrollment growth in school districts in the state for that period, as determined by the commissioner, is entitled to an annual allotment equal to the basic allotment multiplied by 0.04 for each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ATTENDANCE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2.2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two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3.3 million or more;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313.027(i), Tax Code, is amended to read as follows:</w:t>
      </w:r>
    </w:p>
    <w:p w:rsidR="003F3435" w:rsidRDefault="0032493E">
      <w:pPr>
        <w:spacing w:line="480" w:lineRule="auto"/>
        <w:ind w:firstLine="720"/>
        <w:jc w:val="both"/>
      </w:pPr>
      <w:r>
        <w:t xml:space="preserve">(i)</w:t>
      </w:r>
      <w:r xml:space="preserve">
        <w:t> </w:t>
      </w:r>
      <w:r xml:space="preserve">
        <w:t> </w:t>
      </w:r>
      <w:r>
        <w:t xml:space="preserve">A person and the school district may not enter into an agreement under which the person agrees to provide supplemental payments to a school district or any other entity on behalf of a school district in an amount that exceeds an amount equal to the greater of $100 per student per year in average </w:t>
      </w:r>
      <w:r>
        <w:rPr>
          <w:u w:val="single"/>
        </w:rPr>
        <w:t xml:space="preserve">enrollment</w:t>
      </w:r>
      <w:r>
        <w:t xml:space="preserve"> [</w:t>
      </w:r>
      <w:r>
        <w:rPr>
          <w:strike/>
        </w:rPr>
        <w:t xml:space="preserve">daily attendance</w:t>
      </w:r>
      <w:r>
        <w:t xml:space="preserve">], as defined by Section 48.005, Education Code, or $50,000 per year, or for a period that exceeds the period beginning with the period described by Section 313.021(4) and ending December 31 of the third tax year after the date the person's eligibility for a limitation under this chapter expires. This limit does not apply to amounts described by Subsection (f)(1) or (2).</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