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88R26197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Frank, Oliverson, Anchía, Metcalf</w:t>
      </w:r>
      <w:r xml:space="preserve">
        <w:tab wTab="150" tlc="none" cTlc="0"/>
      </w:r>
      <w:r>
        <w:t xml:space="preserve">H.B.</w:t>
      </w:r>
      <w:r xml:space="preserve">
        <w:t> </w:t>
      </w:r>
      <w:r>
        <w:t xml:space="preserve">No.</w:t>
      </w:r>
      <w:r xml:space="preserve">
        <w:t> </w:t>
      </w:r>
      <w:r>
        <w:t xml:space="preserve">139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139:</w:t>
      </w: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C.S.H.B.</w:t>
      </w:r>
      <w:r xml:space="preserve">
        <w:t> </w:t>
      </w:r>
      <w:r>
        <w:t xml:space="preserve">No.</w:t>
      </w:r>
      <w:r xml:space="preserve">
        <w:t> </w:t>
      </w:r>
      <w:r>
        <w:t xml:space="preserve">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notice of certain proposed rules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2023, Section 2001.023,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2001.024,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rPr>
          <w:u w:val="single"/>
        </w:rP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2001, Government Code, is amended by adding Section 2001.0261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2001.0261.</w:t>
      </w:r>
      <w:r>
        <w:rPr>
          <w:u w:val="single"/>
        </w:rPr>
        <w:t xml:space="preserve"> </w:t>
      </w:r>
      <w:r>
        <w:rPr>
          <w:u w:val="single"/>
        </w:rPr>
        <w:t xml:space="preserve"> </w:t>
      </w:r>
      <w:r>
        <w:rPr>
          <w:u w:val="single"/>
        </w:rPr>
        <w:t xml:space="preserve">NOTICE TO CERTAIN PERSONS.  (a)  This section applies only to a rule that is proposed to be adopted by a state agency under statutory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authorizes the agency to adopt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became law during the preceding four-year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provide, not later than the third day after the date the agency files notice with the secretary of state as required under Section 2001.023,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notice required under Subsection (b)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proposed state agency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