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co-navigation services to individuals who are deaf-blind.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Human Resources Code, is amended by adding Subdivision (1)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81, Human Resources Code, is amended by adding Section 81.014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w:t>
      </w:r>
      <w:r>
        <w:rPr>
          <w:u w:val="single"/>
        </w:rPr>
        <w:t xml:space="preserve"> </w:t>
      </w:r>
      <w:r>
        <w:rPr>
          <w:u w:val="single"/>
        </w:rPr>
        <w:t xml:space="preserve"> </w:t>
      </w:r>
      <w:r>
        <w:rPr>
          <w:u w:val="single"/>
        </w:rPr>
        <w:t xml:space="preserve">CO-NAVIGATION SERVICES PROGRAM FOR INDIVIDUALS WHO ARE DEAF-BLIND.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mode" includes communication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auditory amplification, such as through a personal hearing aid or assistive listening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American Sign Language or Signed English by both tactile and visual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protactile language.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"Co-navigation services" means services provided to an individual who is deaf-blind that assist the individual to physically access the individual's environment and to make informed decisions. The term includes providing visual and environmental information or sighted guide services and assisting with communication accessibility by communicating in the preferred language and communication mode of the individual who is deaf-blind. The term does not include performing any of the following for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personal care services to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ordinary errands for the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decisions for the individual;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teaching or otherwise instructing the individual;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interpreting for the individual in a formal setting, including a medical, legal, or business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"Co-navigator" means a person who is specially trained to provide co-navigation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deaf-blind co-navigation services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"Protactile language"</w:t>
      </w:r>
      <w:r>
        <w:rPr>
          <w:u w:val="single"/>
        </w:rPr>
        <w:t xml:space="preserve"> </w:t>
      </w:r>
      <w:r>
        <w:rPr>
          <w:u w:val="single"/>
        </w:rPr>
        <w:t xml:space="preserve">means a method of communication based on touch that is used by individuals who are deaf-blind.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operate a statewide co-navigation services program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co-navigation services are provided by co-navigators;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reimburses the co-navigators for the provision of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reimbursement rates to be paid to a co-navigator under the program. The reimbursement rates must use a tiered wage scale that is based on the co-navigator's: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of training in communication modes for individuals who are deaf-blind and in sighted guide-mobility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fluency and skill in communication modes and sighted guide-mobility for individuals who are deaf-blind.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quality co-navigation services are provided under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the compliance of co-navigators with program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funding sources for the program that are in addition to state sources and will reduce reliance on the state sources for continuation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funding and technical assistance for training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co-navigators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are deaf-blind to enable those individuals to effectively use the services offered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establish an advisory committee to advise the commission in developing and operating the program, including operating the program in a manner that ensures the efficient use of state money. Subject to Section 2110.002, Government Code, the executive commissioner shall determine the number of members serving on the advisory committee, which must include individuals who are deaf-blind and other stakeholders.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that is efficient and maximizes the number of individuals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co-navigators receiving reimbursement under the program have adequate training to provide co-navigation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adopt rules necessary to implement Section 81.014, Human Resources Code, as added by this Act; and</w:t>
      </w:r>
    </w:p>
    <w:p w:rsidR="003F3435" w:rsidRDefault="0032493E">
      <w:pPr>
        <w:spacing w:line="480" w:lineRule="auto"/>
        <w:ind w:firstLine="1440"/>
        <w:jc w:val="both"/>
      </w:pPr>
      <w:r>
        <w:t xml:space="preserve">(2)</w:t>
      </w:r>
      <w:r xml:space="preserve">
        <w:t> </w:t>
      </w:r>
      <w:r xml:space="preserve">
        <w:t> </w:t>
      </w:r>
      <w:r>
        <w:t xml:space="preserve">the commission shall begin operating the program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