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151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affirmative defenses to prosecution for the criminal offenses of sexual performance by a child and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defendant was the spouse of the child at the time of the offense[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conduct was for a bona fide educational, medical, psychological, psychiatric, judicial, law enforcement, or legislative purpose;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defendant is not more than two years older than the child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43.26(c), Penal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It is an</w:t>
      </w:r>
      <w:r>
        <w:t xml:space="preserve"> [</w:t>
      </w:r>
      <w:r>
        <w:rPr>
          <w:strike/>
        </w:rPr>
        <w:t xml:space="preserve">The</w:t>
      </w:r>
      <w:r>
        <w:t xml:space="preserve">] affirmative </w:t>
      </w:r>
      <w:r>
        <w:rPr>
          <w:u w:val="single"/>
        </w:rPr>
        <w:t xml:space="preserve">defense</w:t>
      </w:r>
      <w:r>
        <w:t xml:space="preserve"> [</w:t>
      </w:r>
      <w:r>
        <w:rPr>
          <w:strike/>
        </w:rPr>
        <w:t xml:space="preserve">defenses provided by Section 43.25(f) also apply</w:t>
      </w:r>
      <w:r>
        <w:t xml:space="preserve">] to a prosecution under this section </w:t>
      </w:r>
      <w:r>
        <w:rPr>
          <w:u w:val="single"/>
        </w:rPr>
        <w:t xml:space="preserve">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was the spouse of the child at the time of the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was for a bona fide judicial or law enforcement purpose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