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88R2250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Goodwin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counties to adopt and enforce a wildland-urban interface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C, Chapter 233, Local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C. FIRE </w:t>
      </w:r>
      <w:r>
        <w:rPr>
          <w:u w:val="single"/>
        </w:rPr>
        <w:t xml:space="preserve">AND WILDLAND-URBAN INTERFACE CODES</w:t>
      </w:r>
      <w:r>
        <w:t xml:space="preserve"> [</w:t>
      </w:r>
      <w:r>
        <w:rPr>
          <w:strike/>
        </w:rPr>
        <w:t xml:space="preserve">CODE</w:t>
      </w:r>
      <w:r>
        <w:t xml:space="preserve">] IN UNINCORPORATED AREA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233, Local Government Code, is amended by adding Section 233.0611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233.0611.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ADOPT AND ENFORCE WILDLAND-URBAN INTERFACE CODE. </w:t>
      </w:r>
      <w:r>
        <w:rPr>
          <w:u w:val="single"/>
        </w:rPr>
        <w:t xml:space="preserve"> </w:t>
      </w:r>
      <w:r>
        <w:rPr>
          <w:u w:val="single"/>
        </w:rPr>
        <w:t xml:space="preserve">(a)  The commissioners court of a county with a population of one million or more may adopt a wildland-urban interface code and rules necessary to administer and enforce the wildland-urban interface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(d), a wildland-urban interface code adopted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conform to the International Wildland-Urban Interface Code, as published by the International Code Council, as the code existed on May 1, 2023;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protective measures that exceed the standards of the code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wildland-urban interface code adopted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apply only in the unincorporated area of the county;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apply to only a portion of the unincorporated area of the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wildland-urban interface code adopted under this section may not require the use of a building product or material that is not readily available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commissioners court may adopt: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local amendments to a wildland-urban interface code and procedures for adopting those amendments;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later editions of a wildland-urban interface code described by Subsection (b)(1).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and any municipality in the county may contract with one another for the administration and enforcement of the county's wildland-urban interface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of any conflict between a wildland-urban interface code adopted under this section and a fire code adopted by an emergency services district under Section 775.036, Health and Safety Code, the more stringent provision prevails.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wildland-urban interface code does not apply to an industrial facility having a fire brigade that conforms to requirements of the Occupational Safety and Health Administration.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notice of the proposed adoption or amendment of a wildland-urban interface code under this section in a conspicuous location on the county's Internet website at least 30 days before the date of the adoption of or amendment to the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provided by Section 551.007, Government Code, allow public testimony regarding the adoption or amendment of a wildland-urban interface code under this section before formal action by the commissioners court;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make a reasonable effort to encourage public comment from persons affected by the adoption or amendment of a wildland-urban interface code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233.063(a) and (c),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may not construct or substantially improve a building </w:t>
      </w:r>
      <w:r>
        <w:rPr>
          <w:u w:val="single"/>
        </w:rPr>
        <w:t xml:space="preserve">subject to a code adopted under this subchapter</w:t>
      </w:r>
      <w:r>
        <w:t xml:space="preserve"> [</w:t>
      </w:r>
      <w:r>
        <w:rPr>
          <w:strike/>
        </w:rPr>
        <w:t xml:space="preserve">described by Section 233.062(a)</w:t>
      </w:r>
      <w:r>
        <w:t xml:space="preserve">] in an unincorporated area of the county unless the person obtains a building permit issued in accordance with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Within 30 days after the date the commissioners court receives an application and fee in accordance with Subsection (b), the commissioners court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issue the permit if the plan complies with the </w:t>
      </w:r>
      <w:r>
        <w:rPr>
          <w:u w:val="single"/>
        </w:rPr>
        <w:t xml:space="preserve">applicable codes adopted under this subchapter</w:t>
      </w:r>
      <w:r>
        <w:t xml:space="preserve"> [</w:t>
      </w:r>
      <w:r>
        <w:rPr>
          <w:strike/>
        </w:rPr>
        <w:t xml:space="preserve">fire code</w:t>
      </w:r>
      <w:r>
        <w:t xml:space="preserve">];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deny the permit if the plan does not comply with the </w:t>
      </w:r>
      <w:r>
        <w:rPr>
          <w:u w:val="single"/>
        </w:rPr>
        <w:t xml:space="preserve">applicable codes adopted under this subchapter</w:t>
      </w:r>
      <w:r>
        <w:t xml:space="preserve"> [</w:t>
      </w:r>
      <w:r>
        <w:rPr>
          <w:strike/>
        </w:rPr>
        <w:t xml:space="preserve">fire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233.064(a), (d), (f), (g), and (h),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county shall inspect a building subject to this subchapter to determine whether the building complies with the </w:t>
      </w:r>
      <w:r>
        <w:rPr>
          <w:u w:val="single"/>
        </w:rPr>
        <w:t xml:space="preserve">applicable codes adopted under this subchapter</w:t>
      </w:r>
      <w:r>
        <w:t xml:space="preserve"> [</w:t>
      </w:r>
      <w:r>
        <w:rPr>
          <w:strike/>
        </w:rPr>
        <w:t xml:space="preserve">fire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 or before the date that construction or substantial improvement of a building subject to this subchapter is completed, the owner of the building shall request in writing that the county inspect the building for compliance with the </w:t>
      </w:r>
      <w:r>
        <w:rPr>
          <w:u w:val="single"/>
        </w:rPr>
        <w:t xml:space="preserve">applicable codes</w:t>
      </w:r>
      <w:r>
        <w:t xml:space="preserve"> [</w:t>
      </w:r>
      <w:r>
        <w:rPr>
          <w:strike/>
        </w:rPr>
        <w:t xml:space="preserve">fire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county shall issue a final certificate of compliance to the owner of a building inspected under this section if the inspector determines, after an inspection of the completed building, that the building complies with the </w:t>
      </w:r>
      <w:r>
        <w:rPr>
          <w:u w:val="single"/>
        </w:rPr>
        <w:t xml:space="preserve">applicable codes</w:t>
      </w:r>
      <w:r>
        <w:t xml:space="preserve"> [</w:t>
      </w:r>
      <w:r>
        <w:rPr>
          <w:strike/>
        </w:rPr>
        <w:t xml:space="preserve">fire code</w:t>
      </w:r>
      <w:r>
        <w:t xml:space="preserve">]. For a building or complex of buildings involving phased completion or build-out, the county may issue a partial certificate of compliance for any portion of the building or complex the inspector determines is in substantial compliance with the </w:t>
      </w:r>
      <w:r>
        <w:rPr>
          <w:u w:val="single"/>
        </w:rPr>
        <w:t xml:space="preserve">applicable codes</w:t>
      </w:r>
      <w:r>
        <w:t xml:space="preserve"> [</w:t>
      </w:r>
      <w:r>
        <w:rPr>
          <w:strike/>
        </w:rPr>
        <w:t xml:space="preserve">fire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If the inspector determines, after an inspection of the completed building, that the building does not comply with the </w:t>
      </w:r>
      <w:r>
        <w:rPr>
          <w:u w:val="single"/>
        </w:rPr>
        <w:t xml:space="preserve">applicable codes</w:t>
      </w:r>
      <w:r>
        <w:t xml:space="preserve"> [</w:t>
      </w:r>
      <w:r>
        <w:rPr>
          <w:strike/>
        </w:rPr>
        <w:t xml:space="preserve">fire code</w:t>
      </w:r>
      <w:r>
        <w:t xml:space="preserve">], the county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deny the certificate of compliance;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issue a conditional or partial certificate of compliance and allow the building to be occupied.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A county that issues a conditional certificate of compliance under Subsection (g) shall notify the owner of the building of the violations of the </w:t>
      </w:r>
      <w:r>
        <w:rPr>
          <w:u w:val="single"/>
        </w:rPr>
        <w:t xml:space="preserve">applicable codes</w:t>
      </w:r>
      <w:r>
        <w:t xml:space="preserve"> [</w:t>
      </w:r>
      <w:r>
        <w:rPr>
          <w:strike/>
        </w:rPr>
        <w:t xml:space="preserve">fire code</w:t>
      </w:r>
      <w:r>
        <w:t xml:space="preserve">] and establish a reasonable time to remedy the violations.  A county may revoke a conditional certificate of compliance if the owner does not remedy the violations within the time specified on the conditional certificate of compliance.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Sections 233.065(c) and (d),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county shall deposit fees received under this subchapter in a special fund in the county treasury, and money in that fund may be used only for the administration and enforcement of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 fire</w:t>
      </w:r>
      <w:r>
        <w:t xml:space="preserve">] code </w:t>
      </w:r>
      <w:r>
        <w:rPr>
          <w:u w:val="single"/>
        </w:rPr>
        <w:t xml:space="preserve">adopted under this subchapter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fee for </w:t>
      </w:r>
      <w:r>
        <w:rPr>
          <w:u w:val="single"/>
        </w:rPr>
        <w:t xml:space="preserve">an</w:t>
      </w:r>
      <w:r>
        <w:t xml:space="preserve"> [</w:t>
      </w:r>
      <w:r>
        <w:rPr>
          <w:strike/>
        </w:rPr>
        <w:t xml:space="preserve">a fire code</w:t>
      </w:r>
      <w:r>
        <w:t xml:space="preserve">] inspection under this subchapter must be reasonable and reflect the approximate cost of the inspection personnel, materials, and administrative overhead.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233.066,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233.066.</w:t>
      </w:r>
      <w:r xml:space="preserve">
        <w:t> </w:t>
      </w:r>
      <w:r xml:space="preserve">
        <w:t> </w:t>
      </w:r>
      <w:r>
        <w:t xml:space="preserve">INJUNCTION.  The appropriate attorney representing the county in the district court may seek injunctive relief to prevent the violation or threatened violation of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 fire</w:t>
      </w:r>
      <w:r>
        <w:t xml:space="preserve">] code </w:t>
      </w:r>
      <w:r>
        <w:rPr>
          <w:u w:val="single"/>
        </w:rPr>
        <w:t xml:space="preserve">adopted under this subchapter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233.067(a),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appropriate attorney representing the county in civil cases may file a civil action in a court of competent jurisdiction to recover from a person who violates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 fire</w:t>
      </w:r>
      <w:r>
        <w:t xml:space="preserve">] code </w:t>
      </w:r>
      <w:r>
        <w:rPr>
          <w:u w:val="single"/>
        </w:rPr>
        <w:t xml:space="preserve">adopted under this subchapter</w:t>
      </w:r>
      <w:r>
        <w:t xml:space="preserve"> a civil penalty in an amount not to exceed $200 for each day on which the violation exists.  In determining the amount of the penalty, the court shall consider the seriousness of the violation.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