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88R21762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153:</w:t>
      </w: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C.S.H.B.</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ballot option to not vote for any candidate.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52, Election Code, is amended by adding Section 52.0685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52.0685.</w:t>
      </w:r>
      <w:r>
        <w:rPr>
          <w:u w:val="single"/>
        </w:rPr>
        <w:t xml:space="preserve"> </w:t>
      </w:r>
      <w:r>
        <w:rPr>
          <w:u w:val="single"/>
        </w:rPr>
        <w:t xml:space="preserve"> </w:t>
      </w:r>
      <w:r>
        <w:rPr>
          <w:u w:val="single"/>
        </w:rPr>
        <w:t xml:space="preserve">OPTION TO AFFIRMATIVELY CHOOSE NOT TO VOTE.  (a) Voters shall be given the opportunity to select "I choose not to vote in this race" instead of voting for the candidates appearing on the ballot or the list of write-in candidates for each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vote under this section does not count for the purpose of determining which candidate received a majority of votes.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prescribe the form and manner of placing the option "I choose not to vote in this race" on the ballot.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52.070(a)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shape for voting shall be printed to the left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candidate's name on a ballot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"I choose not to vote in this race" for each office to be voted on in the election</w:t>
      </w:r>
      <w:r>
        <w:t xml:space="preserve">.</w:t>
      </w:r>
    </w:p>
    <w:p w:rsidR="003F3435" w:rsidRDefault="0032493E">
      <w:pPr>
        <w:spacing w:line="480" w:lineRule="auto"/>
        <w:ind w:firstLine="720"/>
        <w:jc w:val="both"/>
      </w:pPr>
      <w:r>
        <w:t xml:space="preserve">(b)</w:t>
      </w:r>
      <w:r xml:space="preserve">
        <w:t> </w:t>
      </w:r>
      <w:r xml:space="preserve">
        <w:t> </w:t>
      </w:r>
      <w:r>
        <w:t xml:space="preserve">Immediately below "OFFICIAL BALLOT," the following instruction shall be printed: "Vote for the candidate of your choice in each race by placing an 'X' or filling in the shape beside the candidate's name </w:t>
      </w:r>
      <w:r>
        <w:rPr>
          <w:u w:val="single"/>
        </w:rPr>
        <w:t xml:space="preserve">or beside "I choose not to vote in this race"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