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88R20134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by which a taxing unit is required to provide public notice of certain ad valorem tax-related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26.04, Tax Code, is amended by adding Subsection (e-6)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designated officer or employee of a taxing unit required to post information on the home page of the taxing unit's Internet website under Subsection (e) shall publish a summary of that information and the uniform resource locator (URL) address of the location where that information is posted in a newspaper of general circulation in each county in which the taxing unit is located. This subsection does not apply to a taxing unit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taxing unit is located wholly or partly in a county with a population of one million or more;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part of the taxing unit is located in a county in which a newspaper of general circulation is published.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