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88R724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identification of early voting ballots voted by mail by electronic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52, Election Code, is amended by adding Section 52.076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52.076.</w:t>
      </w:r>
      <w:r>
        <w:rPr>
          <w:u w:val="single"/>
        </w:rPr>
        <w:t xml:space="preserve"> </w:t>
      </w:r>
      <w:r>
        <w:rPr>
          <w:u w:val="single"/>
        </w:rPr>
        <w:t xml:space="preserve"> </w:t>
      </w:r>
      <w:r>
        <w:rPr>
          <w:u w:val="single"/>
        </w:rPr>
        <w:t xml:space="preserve">IDENTIFYING CODE FOR MAIL-IN BALLOTS. (a) Each early voting ballot voted by mail must include a unique code readable by an electronic device that may be used to verify the authenticity of the ballot.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record associating an individual voter with a code assigned to a ballot under this section may be created.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by rule shall provide for the design and distribution of a unique code system in a manner that, to the greatest extent possible, prevents the unauthorized reproduction or misuse of mail ballots.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86.001, Election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Before the clerk provides a ballot to an applicant, the clerk shall identify the unique code included on each ballot with an electronic device and make a record indicating that a ballot with the unique code was issued.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87.062, Election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early voting ballot board shall identify the unique code included on each ballot with an electronic device and compare the code on the ballot to the codes recorded by the early voting clerk under Section 86.001(h).  If the code does not match a recorded code, the early voting ballot board may not count the ballot. Ballots not counted under this section shall be placed in an envelope and treated in the same manner as rejected ballots under Section 87.043.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87.103, Election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unique code included on each ballot must be identified by an electronic device and if the code on the ballot does not match a code recorded by the early voting clerk under Section 86.001(h), the ballot may not be counted. Ballots not counted under this section shall be placed in an envelope and treated in the same manner as rejected ballots under Section 87.043.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