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88R651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minimum standards for prescribed burns.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153.047,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153.047.</w:t>
      </w:r>
      <w:r xml:space="preserve">
        <w:t> </w:t>
      </w:r>
      <w:r xml:space="preserve">
        <w:t> </w:t>
      </w:r>
      <w:r>
        <w:t xml:space="preserve">PRESCRIBED BURNING STANDARDS.  Minimum standards established by the board for prescribed burning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ensure that prescribed burning is the controlled application of fire to naturally occurring or naturalized vegetative fuels under specified environmental conditions in accordance with a written prescription plan: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designed to confine the fire to a predetermined area and to accomplish planned land management objectives;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conforms to the standards established under this section;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prescription plan lists a certified and insured prescribed burn manager as the burn boss,</w:t>
      </w:r>
      <w:r>
        <w:t xml:space="preserve"> require that </w:t>
      </w:r>
      <w:r>
        <w:rPr>
          <w:u w:val="single"/>
        </w:rPr>
        <w:t xml:space="preserve">the burn boss be</w:t>
      </w:r>
      <w:r>
        <w:t xml:space="preserve"> [</w:t>
      </w:r>
      <w:r>
        <w:rPr>
          <w:strike/>
        </w:rPr>
        <w:t xml:space="preserve">at least one certified and insured prescribed burn manager is</w:t>
      </w:r>
      <w:r>
        <w:t xml:space="preserve">] present on site during the conduct of the prescribed burn;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establish appropriate guidelines for size of burning crews sufficient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conduct the burn in accordance with the prescription plan;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 adequate protection for the safety of persons and of adjacent property;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include standards for notification to adjacent land owners, the Texas Commission on Environmental Quality, and local fire authorities;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include minimum insurance requirements for certified and insured prescribed burn managers.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