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lobbyist registration requirements to a person who provides legal services to a political subdivision.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305.003, Government Code, is amended by adding Subsection (b-5) to read as follows:</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This section does not require a person to register if the person has established an attorney-client relationship with a political subdivision to provide legal services and receives or is entitled to receive compensation, reimbursement, or expenses under an agreement under which the person is retained or employed by the political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