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88R2356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170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requirements applicable to certain public entities that engage in lobbying.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RESTRICTIONS ON LOBBYING EXPENDITURES AND REIMBURSEMENTS BY CERTAIN PUBLIC ENTITIES.  (a)  This section applies only to the following public entities: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political subdivision that imposes a tax;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political subdivision or special district that has the authority to issue bonds, including revenue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regional mobility authority;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transit authority;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regional tollway authority;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special purpose district, including a municipal utility district and a municipal management district;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public institution of higher education;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community college district;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publicly owned utility;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river authority or water supply corporation.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public entity may not spend public money or provide other compensation to contract with a person required to register as a lobbyist under Chapter 305 to communicate directly with one or more members of the legislative branch to influence legislation pending before the legislature unless the expenditure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by a majority vote of the governing body of the entity in an open meeting of the governing body;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voted on by the governing body as a stand-alone item on the agenda at the meeting.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public entity that contracts with a person required to register as a lobbyist under Chapter 305 in accordance with this section must publish on the entity's Internet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money authorized under Subsection (b) for the purpose of contracting with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contract;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money, if any, spent by the entity for membership fees or dues to a nonprofit state association or organization of similarly situated entities that contracts with a person required to register as a lobbyist under Chapter 305;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any current legislative agenda or resolution adopted by the entity.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required to register as a lobbyist under Chapter 305 that contracts with a public entity in accordance with this section may not communicate directly with a member of the legislative branch on behalf of the entity regarding legislation pending before the legislature that specifically proposes to amend Section 26.04(c) or 26.041(c), Tax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other law, a public entity may not provide reimbursement to a person required to register as a lobbyist under Chapter 305 for an expenditure made by the person for food, beverages, or entertainment.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public entity does not comply with the requirements of this section, a resident of or person receiving services from the entity may file a sworn complaint with the Texas Ethics Commission against the entity in accordance with Section 571.122.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prevent an officer or employee of a public entity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information for a member of the legislative branch;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appearing before a legislative committee;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communicating directly with one or more members of the legislative branch to influence legislation pending before the legislature.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2254.030,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 payment or other compensation described by that section made under a contract entered into on or after the effective date of this Act.  A contract entered into before the effective date of this Act under which a payment or other compensation described by that section is made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