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88R11900 EAS-D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 of Dallas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186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186: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Leach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186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county in which an application for court-ordered mental health services must be filed.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574.001(b),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Except as provided by Subsection (f), the application must be filed with the county clerk in the county in which the proposed patient: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resides;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is located at the time the application is filed</w:t>
      </w:r>
      <w:r>
        <w:t xml:space="preserve"> [</w:t>
      </w:r>
      <w:r>
        <w:rPr>
          <w:strike/>
        </w:rPr>
        <w:t xml:space="preserve">is found</w:t>
      </w:r>
      <w:r>
        <w:t xml:space="preserve">];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rPr>
          <w:u w:val="single"/>
        </w:rPr>
        <w:t xml:space="preserve">was apprehended under Chapter 573;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 xml:space="preserve">
        <w:t> </w:t>
      </w:r>
      <w:r>
        <w:t xml:space="preserve">is receiving mental health services by court order or under Subchapter A, Chapter 573.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186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