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88R438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county in which an application for court-ordered mental health services must be filed.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574.001(b),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(f), the application must be filed with the county clerk in the county in which the proposed patient: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found;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is being assessed in an emergency room or hospital;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is receiving mental health services by court order or under Subchapter A, Chapter 573.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