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proposition to approve the issuance of bonds or other debt.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 Election Code, is amended by adding Section 41.0051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41.0051.</w:t>
      </w:r>
      <w:r>
        <w:rPr>
          <w:u w:val="single"/>
        </w:rPr>
        <w:t xml:space="preserve"> </w:t>
      </w:r>
      <w:r>
        <w:rPr>
          <w:u w:val="single"/>
        </w:rPr>
        <w:t xml:space="preserve"> </w:t>
      </w:r>
      <w:r>
        <w:rPr>
          <w:u w:val="single"/>
        </w:rPr>
        <w:t xml:space="preserve">PROPOSITION FOR APPROVAL OF ISSUANCE OF BONDS OR OTHER DEBT.  (a) A proposition for approval of the issuance of bonds or other debt shall be submitted to the voters in an election held on the November uniform election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41.0011, a proposition described by Subsection (a) may not be submitted to the voters in an election held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law outside this code requires a proposition described by Subsection (a) to be submitted to the voters in an election held on a date other than the November uniform election date, the authority administering the election shall set the election date to comply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election ordered on or after the effective date of this Act. An election ordered before the effective date of this Act is governed by the law in effect when the election was ordered.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