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88R2361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196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an electronic recording device to report proceedings before a municipal court of record for the City of San Antonio.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30.00226,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Instead of using a court reporter to preserve a record in a case, the governing body may authorize the use of a good quality electronic recording device to report court proceedings. If the governing body authorizes an electronic recording, the court reporter is not required to be present to certify the reporter's record. The recording shall be kept for the 20-day period beginning the day after the last day of the court proceeding, trial, or denial of motion for new trial, whichever occurs last. If a case is appealed, the proceedings shall be transcribed from the recording by an official court reporter.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