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a writ of habeas corpus based on certain relevant scientific evidence that was not available at the applicant's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11.073(b),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11.07, 11.071, or 11.072,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on the preponderance of the evidence the person would not have been convicted </w:t>
      </w:r>
      <w:r>
        <w:rPr>
          <w:u w:val="single"/>
        </w:rPr>
        <w:t xml:space="preserve">or would have received a different punishment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11.073, Code of Criminal Procedure, as amended by this Act, applies only to an application for a writ of habeas corpus filed on or after the effective date of this Act.  An application filed before the effective date of this Act is governed by the law in effect when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December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