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88R1453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Murr, Lambert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exclusion of certain conveyances from classification as sham or pretended sales.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41, Property Code, is amended by adding Section 41.0022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41.0022.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CONVEYANCES NOT SHAM OR PRETENDED SALES.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"Entity" means a domestic or foreign: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corporation, professional corporation, or professional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liability company or professional limited liability company;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partnership.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"Parcel" means one or more parcels.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conveyance of a parcel not meeting the definition of an urban homestead under Section 41.002(a) or (c) by an individual to an entity in which the individual or individual's spouse has a direct or indirect ownership interest is not a sham or pretended sale, including a pretended sale under Section 50(c), Article XVI, Texas Constitution,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 conveying the parcel is recorded at least 30 days before the entity grants a mortgage, trust deed, or other lien on the parcel;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does not reside on the parcel at the time of the conveyance;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parcel is not contiguous to the parcel on which the individual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 conveying the parcel does not contain a condition of defeasance;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recorded contemporaneously with the deed an affidavit substantially in the form prescribed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executing a deed under Subsection (b) is estopped from claiming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conveyance is a sham or pretended sale, including a pretended sale under Section 50(c), Article XVI, Texas Constitution;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had not abandoned homestead rights, if any, in the parcel by executing the deed.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the time of recording a deed under Subsection (b), an individual grantor of the deed shall record an affidavit containing the following: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title caption stating "Affidavit Regarding Conveyance To An Entity";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the affidavit;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deed containing: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title of the deed;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the deed;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address of the individual grantor;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address of the entity grantee;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parcel being conveyed to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parcel upon which the individual currently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parcel being conveyed is not contiguous to the parcel upon which the individual currently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parcel upon which the individual currently resides is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within the limits of a municipality or its extraterritorial jurisdiction or a platted subdivision;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by police protection, paid or volunteer fire protection, and at least three of the following services provided by a municipality or under contract to a municipality: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electric;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natural gas;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sewer;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storm sewer;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is unmarried;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is married, and including the name of the individual's spouse;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or individual's spouse owns a direct or indirect interest in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has executed the deed conveying the parcel to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intends to vest title in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there are no written or oral agreements regarding a defeasance of the parcel upon the passage of time or occurrence or non-occurrence of any event;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acknowledges that the individual will be estopped from claiming the conveyance to the entity is a sham or pretended sale, including a pretended sale under Section 50(c), Article XVI, Texas Constitution;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acknowledges that the individual will be estopped from claiming the individual had not abandoned homestead rights, if any, in the parcel by executing the deed;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understands that if the parcel is valued for ad valorem tax purposes as qualified open-space land, the entity must reapply in its own name by the applicable filing deadline;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has had an opportunity: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review the affidavit prior to the affidavit's execution;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consult with an attorney before the affidavit's execution, whether or not the opportunity to consult with an attorney was exercised.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individual conveying a parcel under Subsection (b) is married, the individual's spouse must join in the execution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affidavit described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entity or a lender for value may conclusively rely on an affidavit described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