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88R12086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Dutton, Geren, Anchía, Cain,</w:t>
      </w:r>
      <w:r xml:space="preserve">
        <w:tab wTab="150" tlc="none" cTlc="0"/>
      </w:r>
      <w:r>
        <w:t xml:space="preserve">H.B.</w:t>
      </w:r>
      <w:r xml:space="preserve">
        <w:t> </w:t>
      </w:r>
      <w:r>
        <w:t xml:space="preserve">No.</w:t>
      </w:r>
      <w:r xml:space="preserve">
        <w:t> </w:t>
      </w:r>
      <w:r>
        <w:t xml:space="preserve">218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218:</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offenses relating to the possession of marihuana, certain tetrahydrocannabinols, certain synthetic cannabinoids, and drug paraphernalia;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481.1161(b)(1),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481.1161(b)(1),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481.1161(b)(1),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481.1161(b)(1),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481.1161(b)(1),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rPr>
          <w:u w:val="single"/>
        </w:rPr>
        <w:t xml:space="preserve">Section 481.1161, Health and Safety Code, if the offense is punishable under Subsection (b)(1-a);</w:t>
      </w:r>
    </w:p>
    <w:p w:rsidR="003F3435" w:rsidRDefault="0032493E">
      <w:pPr>
        <w:spacing w:line="480" w:lineRule="auto"/>
        <w:ind w:firstLine="2160"/>
        <w:jc w:val="both"/>
      </w:pPr>
      <w:r>
        <w:rPr>
          <w:u w:val="single"/>
        </w:rPr>
        <w:t xml:space="preserve">(B)</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Section 481.121, Health and Safety Code, if the offense is punishable under Subsection </w:t>
      </w:r>
      <w:r>
        <w:rPr>
          <w:u w:val="single"/>
        </w:rPr>
        <w:t xml:space="preserve">(b)(1-a)</w:t>
      </w:r>
      <w:r>
        <w:t xml:space="preserve"> </w:t>
      </w:r>
      <w:r>
        <w:t xml:space="preserve">[</w:t>
      </w:r>
      <w:r>
        <w:rPr>
          <w:strike/>
        </w:rPr>
        <w:t xml:space="preserve">(b)(1)</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1-B, 2, 2-A, </w:t>
      </w:r>
      <w:r>
        <w:rPr>
          <w:u w:val="single"/>
        </w:rPr>
        <w:t xml:space="preserve">2-B,</w:t>
      </w:r>
      <w:r>
        <w:t xml:space="preserve"> 3, or 4.  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1-B, 2, [</w:t>
      </w:r>
      <w:r>
        <w:rPr>
          <w:strike/>
        </w:rPr>
        <w:t xml:space="preserve">or</w:t>
      </w:r>
      <w:r>
        <w:t xml:space="preserve">] 2-A</w:t>
      </w:r>
      <w:r>
        <w:rPr>
          <w:u w:val="single"/>
        </w:rPr>
        <w:t xml:space="preserve">, or 2-B</w:t>
      </w:r>
      <w:r>
        <w:t xml:space="preserve">;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1-B, 2,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w:t>
      </w:r>
      <w:r>
        <w:rPr>
          <w:strik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w:t>
      </w:r>
      <w:r>
        <w:rPr>
          <w:strike/>
        </w:rPr>
        <w:t xml:space="preserve">delta-1 cis or trans tetrahydrocannabinol, and their optical isomers;</w:t>
      </w:r>
    </w:p>
    <w:p w:rsidR="003F3435" w:rsidRDefault="0032493E">
      <w:pPr>
        <w:spacing w:line="480" w:lineRule="auto"/>
        <w:ind w:firstLine="2880"/>
        <w:jc w:val="both"/>
      </w:pPr>
      <w:r>
        <w:t xml:space="preserve">[</w:t>
      </w:r>
      <w:r>
        <w:rPr>
          <w:strike/>
        </w:rPr>
        <w:t xml:space="preserve">delta-6 cis or trans tetrahydrocannabinol, and their optical isomers;</w:t>
      </w:r>
    </w:p>
    <w:p w:rsidR="003F3435" w:rsidRDefault="0032493E">
      <w:pPr>
        <w:spacing w:line="480" w:lineRule="auto"/>
        <w:ind w:firstLine="2880"/>
        <w:jc w:val="both"/>
      </w:pPr>
      <w:r>
        <w:t xml:space="preserve">[</w:t>
      </w:r>
      <w:r>
        <w:rPr>
          <w:strike/>
        </w:rPr>
        <w:t xml:space="preserve">delta-3, 4 cis or trans tetrahydrocannabinol, and its optical isomers; or</w:t>
      </w:r>
    </w:p>
    <w:p w:rsidR="003F3435" w:rsidRDefault="0032493E">
      <w:pPr>
        <w:spacing w:line="480" w:lineRule="auto"/>
        <w:ind w:firstLine="2880"/>
        <w:jc w:val="both"/>
      </w:pPr>
      <w:r>
        <w:t xml:space="preserve">[</w:t>
      </w:r>
      <w:r>
        <w:rPr>
          <w:strike/>
        </w:rPr>
        <w:t xml:space="preserve">compounds of these structures, regardless of numerical designation of atomic positions, since nomenclature of these substances is not internationally standardized;</w:t>
      </w:r>
      <w:r>
        <w:t xml:space="preserve">]</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481, Health and Safety Code, is amended by adding Section 481.1032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481.1032.</w:t>
      </w:r>
      <w:r>
        <w:rPr>
          <w:u w:val="single"/>
        </w:rPr>
        <w:t xml:space="preserve"> </w:t>
      </w:r>
      <w:r>
        <w:rPr>
          <w:u w:val="single"/>
        </w:rPr>
        <w:t xml:space="preserve"> </w:t>
      </w:r>
      <w:r>
        <w:rPr>
          <w:u w:val="single"/>
        </w:rPr>
        <w:t xml:space="preserve">PENALTY GROUP 2-B.  (a)  Penalty Group 2-B consists of any quantity of the following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1440"/>
        <w:jc w:val="both"/>
      </w:pPr>
      <w:r>
        <w:rPr>
          <w:u w:val="singl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160"/>
        <w:jc w:val="both"/>
      </w:pPr>
      <w:r>
        <w:rPr>
          <w:u w:val="single"/>
        </w:rPr>
        <w:t xml:space="preserve">delta-1 cis or trans tetrahydrocannabinol, and their optical isomers;</w:t>
      </w:r>
    </w:p>
    <w:p w:rsidR="003F3435" w:rsidRDefault="0032493E">
      <w:pPr>
        <w:spacing w:line="480" w:lineRule="auto"/>
        <w:ind w:firstLine="2160"/>
        <w:jc w:val="both"/>
      </w:pPr>
      <w:r>
        <w:rPr>
          <w:u w:val="single"/>
        </w:rPr>
        <w:t xml:space="preserve">delta-6 cis or trans tetrahydrocannabinol, and their optical isomers;</w:t>
      </w:r>
    </w:p>
    <w:p w:rsidR="003F3435" w:rsidRDefault="0032493E">
      <w:pPr>
        <w:spacing w:line="480" w:lineRule="auto"/>
        <w:ind w:firstLine="2160"/>
        <w:jc w:val="both"/>
      </w:pPr>
      <w:r>
        <w:rPr>
          <w:u w:val="single"/>
        </w:rPr>
        <w:t xml:space="preserve">delta-3, 4 cis or trans tetrahydrocannabinol, and their optical isomers; or</w:t>
      </w:r>
    </w:p>
    <w:p w:rsidR="003F3435" w:rsidRDefault="0032493E">
      <w:pPr>
        <w:spacing w:line="480" w:lineRule="auto"/>
        <w:ind w:firstLine="2160"/>
        <w:jc w:val="both"/>
      </w:pPr>
      <w:r>
        <w:rPr>
          <w:u w:val="single"/>
        </w:rP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term "isomer" includes an optical, position, or geometric isomer.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1-B, 2, [</w:t>
      </w:r>
      <w:r>
        <w:rPr>
          <w:strike/>
        </w:rPr>
        <w:t xml:space="preserve">and</w:t>
      </w:r>
      <w:r>
        <w:t xml:space="preserve">] 2-A</w:t>
      </w:r>
      <w:r>
        <w:rPr>
          <w:u w:val="single"/>
        </w:rPr>
        <w:t xml:space="preserve">, and 2-B</w:t>
      </w:r>
      <w:r>
        <w:t xml:space="preserve">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481.113, Health and Safety Code, is amended to read as follows:</w:t>
      </w:r>
    </w:p>
    <w:p w:rsidR="003F3435" w:rsidRDefault="0032493E">
      <w:pPr>
        <w:spacing w:line="480" w:lineRule="auto"/>
        <w:ind w:firstLine="720"/>
        <w:jc w:val="both"/>
      </w:pPr>
      <w:r>
        <w:t xml:space="preserve">Sec.</w:t>
      </w:r>
      <w:r xml:space="preserve">
        <w:t> </w:t>
      </w:r>
      <w:r>
        <w:t xml:space="preserve">481.113.</w:t>
      </w:r>
      <w:r xml:space="preserve">
        <w:t> </w:t>
      </w:r>
      <w:r xml:space="preserve">
        <w:t> </w:t>
      </w:r>
      <w:r>
        <w:t xml:space="preserve">OFFENSE: MANUFACTURE OR DELIVERY OF SUBSTANCE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481.115(h),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481.1151(b)(1), 481.116(b),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481.1151(c), 481.116(f),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481.1151(d),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481.116(b),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481.116(f),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481.116(g),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481.1161, Health and Safety Code, is amended to read as follows:</w:t>
      </w:r>
    </w:p>
    <w:p w:rsidR="003F3435" w:rsidRDefault="0032493E">
      <w:pPr>
        <w:spacing w:line="480" w:lineRule="auto"/>
        <w:ind w:firstLine="720"/>
        <w:jc w:val="both"/>
      </w:pPr>
      <w:r>
        <w:t xml:space="preserve">Sec.</w:t>
      </w:r>
      <w:r xml:space="preserve">
        <w:t> </w:t>
      </w:r>
      <w:r>
        <w:t xml:space="preserve">481.1161.</w:t>
      </w:r>
      <w:r xml:space="preserve">
        <w:t> </w:t>
      </w:r>
      <w:r xml:space="preserve">
        <w:t> </w:t>
      </w:r>
      <w:r>
        <w:t xml:space="preserve">OFFENSE: POSSESSION OF SUBSTANCE IN PENALTY GROUP 2-A </w:t>
      </w:r>
      <w:r>
        <w:rPr>
          <w:u w:val="single"/>
        </w:rPr>
        <w:t xml:space="preserve">OR 2-B</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481.1161(a), (b),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possesses a controlled substance listed in Penalty Group 2-A </w:t>
      </w:r>
      <w:r>
        <w:rPr>
          <w:u w:val="single"/>
        </w:rPr>
        <w:t xml:space="preserve">or 2-B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the controlled substance possessed is, by aggregate weight, including adulterants or dilutants,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the controlled substance possessed is, by aggregate weight, including adulterants or dilutants,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w:t>
      </w:r>
      <w:r>
        <w:rPr>
          <w:u w:val="single"/>
        </w:rPr>
        <w:t xml:space="preserve">, (1-a),</w:t>
      </w:r>
      <w:r>
        <w:t xml:space="preserve">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w:t>
      </w:r>
      <w:r>
        <w:t xml:space="preserve">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481.117(g),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481.118(g),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481.119(d),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481.121(b), (c),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w:t>
      </w:r>
      <w:r>
        <w:rPr>
          <w:u w:val="single"/>
        </w:rPr>
        <w:t xml:space="preserve">, (1-a),</w:t>
      </w:r>
      <w:r>
        <w:t xml:space="preserve">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481.118(b),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1-B, 2, </w:t>
      </w:r>
      <w:r>
        <w:rPr>
          <w:u w:val="single"/>
        </w:rPr>
        <w:t xml:space="preserve">2-A, 2-B,</w:t>
      </w:r>
      <w:r>
        <w:t xml:space="preserve">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 1-A, or 1-B;</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r>
        <w:rPr>
          <w:u w:val="single"/>
        </w:rPr>
        <w:t xml:space="preserve">, 2-A, or 2-B</w:t>
      </w:r>
      <w:r>
        <w:t xml:space="preserve">;</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481.125(h),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w:t>
      </w:r>
      <w:r>
        <w:rPr>
          <w:u w:val="single"/>
        </w:rPr>
        <w:t xml:space="preserve">481.1161(b)(1-a),</w:t>
      </w:r>
      <w:r>
        <w:t xml:space="preserve"> </w:t>
      </w:r>
      <w:r>
        <w:t xml:space="preserve">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483.041(f),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defense to prosecution provided by Subsection (e)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481.125(a),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481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481.125(g),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485.031(d),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481.125(a), or 483.041(a);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481 or 483;</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481.125(g), or 483.041(e);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1-B, 2, </w:t>
      </w:r>
      <w:r>
        <w:rPr>
          <w:u w:val="single"/>
        </w:rPr>
        <w:t xml:space="preserve">2-A, 2-B,</w:t>
      </w:r>
      <w:r>
        <w:t xml:space="preserve">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1-B, 2, </w:t>
      </w:r>
      <w:r>
        <w:rPr>
          <w:u w:val="single"/>
        </w:rPr>
        <w:t xml:space="preserve">2-A, 2-B,</w:t>
      </w:r>
      <w:r>
        <w:t xml:space="preserve">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Except as otherwise provided by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