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88R2796 SGM-D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Cortez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223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ballot application requirements for the election of a precinct chair.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172.021, Election Code, is amended by adding Subsection (h)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application for a place on the ballot as a candidate for precinct chair must, in addition to complying with Section 141.031,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e-mail address at which the candidate receives correspondence relating to the candidate's campaign;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telephone number at which the candidate can be reached;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e-mail address and a telephone number described by Subdivisions (1) and (2).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223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