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88R1894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pharmacists to furnish certain medications.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483.001(11), Health and Safety Code, is amended to read as follows:</w:t>
      </w:r>
    </w:p>
    <w:p w:rsidR="003F3435" w:rsidRDefault="0032493E">
      <w:pPr>
        <w:spacing w:line="480" w:lineRule="auto"/>
        <w:ind w:firstLine="1440"/>
        <w:jc w:val="both"/>
      </w:pPr>
      <w:r>
        <w:t xml:space="preserve">(11)</w:t>
      </w:r>
      <w:r xml:space="preserve">
        <w:t> </w:t>
      </w:r>
      <w:r xml:space="preserve">
        <w:t> </w:t>
      </w:r>
      <w:r>
        <w:t xml:space="preserve">"Practice of pharmacy" </w:t>
      </w:r>
      <w:r>
        <w:rPr>
          <w:u w:val="single"/>
        </w:rPr>
        <w:t xml:space="preserve">has the meaning assigned by Section 551.003, Occupations Code</w:t>
      </w:r>
      <w:r>
        <w:t xml:space="preserve"> [</w:t>
      </w:r>
      <w:r>
        <w:rPr>
          <w:strike/>
        </w:rPr>
        <w:t xml:space="preserve">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provision of those acts or services necessary to provide pharmaceutical care;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interpretation and evaluation of prescription drug orders or medication orders;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participation in drug and device selection as authorized by law, drug administration, drug regimen review, or drug or drug-related research;</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provision of patient counseling;</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responsibility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dispensing of prescription drug orders or distribution of medication orders in the patient's best interest;</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compounding and labeling of drugs and devices, except labeling by a manufacturer, repackager, or distributor of nonprescription drugs and commercially packaged prescription drugs and devices;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proper and safe storage of drugs and devices;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maintenance of proper records for drugs and devices.  In this subdivision, "device" has the meaning assigned by Subtitle J, Title 3, Occupations Code;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performance of a specific act of drug therapy management for a patient delegated to a pharmacist by a written protocol from a physician licensed by the state under Subtitle B, Title 3, Occupations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157, Occupations Code, is amended by adding Section 157.102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DELEGATION TO PHARMACIST TO FURNISH CERTAIN DRUGS.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"Acute condition" means a condition or disease that begins abruptly, intensifies rapidly, and is generally not long-lasting.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"Pharmacist" has the meaning assigned by Section 551.003.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"Waived clinical laboratory test" means a clinical laboratory test that is classified as waived under federal regulations issued under the Clinical Laboratory Improvement Amendments of 1988 (42 U.S.C. Section 263a).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"Written protocol" means a physician's written order, standing medical order, standing delegation order, or other order or protocol as defined by rule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pharmacist may furnish to a patient, as provided by a physician's written protocol, a prescription drug to treat an acute condition that is identified through performance of one of the following tests, if the test is a waived clinical laboratory test: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rapid strep test or rapid antigen detection test used in the identification of group A streptococcus (GAS);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rapid influenza diagnostic test used in the identification of influenza types A and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jointly with the Texas State Board of Pharmacy to establish the minimum content of the written protocol required under Subsection (b).  The written protocol may permit a pharmacist to furnish a prescription drug to a patient without an established physician-patient relationship.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written protocol under this section must require notice to the patient's primary care physician, as identified by the patient if the patient has a primary care physician, and prescribe the period for providing the notice and the form of the notice, in accordance with prevailing practices for the provision of notice to a patient's primary care physician.  The period for providing the notice may not be later than the 14th day after the date the drug is furnished by the pharmacist.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administering an immunization or vaccination under a physician's written protocol</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furnishing a prescription drug to a patient under a physician's written protocol under Section 157.102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562, Occupations Code, is amended by adding Section 562.058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562.058.</w:t>
      </w:r>
      <w:r>
        <w:rPr>
          <w:u w:val="single"/>
        </w:rPr>
        <w:t xml:space="preserve"> </w:t>
      </w:r>
      <w:r>
        <w:rPr>
          <w:u w:val="single"/>
        </w:rPr>
        <w:t xml:space="preserve"> </w:t>
      </w:r>
      <w:r>
        <w:rPr>
          <w:u w:val="single"/>
        </w:rPr>
        <w:t xml:space="preserve">TRAINING REQUIRED TO FURNISH CERTAIN DRUGS.  (a)  A pharmacist may not furnish a prescription drug under Section 157.102 unless the pharmacist has completed a training program that is approved by the board and is relevant to the condition treated by the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jointly with the Texas Medical Board to establish the minimum content of the training program required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January 1, 2024, the Texas State Board of Pharmacy and the Texas Medical Board shall adopt the rules required under Sections 157.102 and 562.058, Occupations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