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244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limiting the locations where a person may carry a firearm other than a handgun in certain counties;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46.02, Penal Code, is amended by adding Subsections (a-9) and (a-10) to read as follows:</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knowingly, or recklessly carries on or about his or her person a firearm other than a handgun;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population of more than 1 million;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a population of more than 800,000 and is adjacent to only one other county located on an international border;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person's own premises or premises under the person's control;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inside of or directly en route to a motor vehicle or watercraft that is owned by the person or under the person's control.</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It is a defense to prosecution under Subsection (a-9)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was on a premises owned by another or was inside of or directly en route to a motor vehicle or watercraft that is owned by another;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the premises, motor vehicle, or watercraft gave the actor verbal or written authorization to carry a firearm on the premises or in the motor vehicle or watercraft, as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carrying or possessing a firearm other than a handgun on those premises or in the motor vehicle or watercraft is not otherwise prohibited under this chapter or other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premises, vehicle, or watercraft is not open to or accessible by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