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88R1474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costs associated with certain assignments of a statutory probate court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352, Estates Code, is amended by adding Section 352.054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352.054.</w:t>
      </w:r>
      <w:r>
        <w:rPr>
          <w:u w:val="single"/>
        </w:rPr>
        <w:t xml:space="preserve"> </w:t>
      </w:r>
      <w:r>
        <w:rPr>
          <w:u w:val="single"/>
        </w:rPr>
        <w:t xml:space="preserve"> </w:t>
      </w:r>
      <w:r>
        <w:rPr>
          <w:u w:val="single"/>
        </w:rPr>
        <w:t xml:space="preserve">REIMBURSEMENT FOR CERTAIN COSTS FOR ASSIGNED JUDGE.  A statutory probate court judge assigned to hear a contested matter on the motion under Section 32.003 of a party to the proceeding may order the estate to reimburse a county for any amounts the county paid as compensation and expenses in accordance with Section 25.0022(o-1),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25.0022, Government Code, is amended by adding Subsection (o-1) and amending Subsection (p) to read as follows:</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If a party to a probate proceeding files a motion for the assignment of a statutory probate court judge to hear a contested matter in the proceeding under Section 32.003, Estates Code, and the motion is granted, the assigned statutory probate court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possible, order that the county be reimbursed for any amounts the county paid as compensation and expenses under Subsections (o) and (p) from the estate under Section 352.054, Estates Code, and from the parties to the proceeding;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amount and manner by which the compensation and expenses described by Subdivision (1) are to be equitably apportioned among the estate and parties, as applicable.</w:t>
      </w:r>
    </w:p>
    <w:p w:rsidR="003F3435" w:rsidRDefault="0032493E">
      <w:pPr>
        <w:spacing w:line="480" w:lineRule="auto"/>
        <w:ind w:firstLine="720"/>
        <w:jc w:val="both"/>
      </w:pPr>
      <w:r>
        <w:t xml:space="preserve">(p)</w:t>
      </w:r>
      <w:r xml:space="preserve">
        <w:t> </w:t>
      </w:r>
      <w:r xml:space="preserve">
        <w:t> </w:t>
      </w:r>
      <w:r>
        <w:t xml:space="preserve">In addition to all compensation and expenses authorized by this section and other law, a judge who is assigned to a court outside the county of the judge's residence is entitled to receive $25 for each day or fraction of a day served.  </w:t>
      </w:r>
      <w:r>
        <w:rPr>
          <w:u w:val="single"/>
        </w:rPr>
        <w:t xml:space="preserve">Subject to Subsection (o-1), the</w:t>
      </w:r>
      <w:r>
        <w:t xml:space="preserve"> [</w:t>
      </w:r>
      <w:r>
        <w:rPr>
          <w:strike/>
        </w:rPr>
        <w:t xml:space="preserve">The</w:t>
      </w:r>
      <w:r>
        <w:t xml:space="preserve">] county in which the judge served shall pay the additional compensation from the county's general fund on certification by the presiding judge.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25.0022, Government Code, as amended by this Act, applies only to a motion for the assignment of a statutory probate court judge under Section 32.003, Estates Code, that is filed on or after the effective date of this Act.  A motion filed before the effective date of this Act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