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88R434 SCP-F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motorcycle profiling by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2, Code of Criminal Procedure, is amended by adding Article 2.1315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2.1315.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MOTORCYCLE PROFILING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article: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and "motor vehicle stop" have the meanings assigned by Article 2.132.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"Motorcycle profiling" means a law enforcement-initiated action based wholly or partly on an individual operating a motorcycle or wearing motorcycle-related or motorcycle club-related paraphernalia rather than on the individual's behavior or on information identifying the individual as having engaged in criminal activity.  The term includes a motor vehicle stop that is made with respect to an individual operating a motorcycle and that the peace officer extends beyond the period necessary to effectuate the purpose of the stop.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peace officer may not engage in motorcycle profiling.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law enforcement agency in this state shall adopt a detailed written policy on motorcycle profiling. </w:t>
      </w:r>
      <w:r>
        <w:rPr>
          <w:u w:val="single"/>
        </w:rPr>
        <w:t xml:space="preserve"> </w:t>
      </w:r>
      <w:r>
        <w:rPr>
          <w:u w:val="single"/>
        </w:rPr>
        <w:t xml:space="preserve">The policy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clearly define acts constituting motorcycle profiling;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strictly prohibit peace officers employed by the agency from engaging in motorcycle profiling;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implement a process by which an individual may file a complaint with the agency if the individual believes that a peace officer employed by the agency has engaged in motorcycle profiling with respect to the individual;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appropriate disciplinary action to be taken against a peace officer employed by the agency who, after an investigation, is shown to have engaged in motorcycle profiling in violation of the agency's policy adopted under this article.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each law enforcement agency in this state shall adopt the policy required by Article 2.1315, Code of Criminal Procedure,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